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FF0F44" w14:textId="01741C28" w:rsidR="00E6770F" w:rsidRPr="00F83EBB" w:rsidRDefault="00E6770F">
      <w:pPr>
        <w:rPr>
          <w:bCs/>
          <w:sz w:val="32"/>
          <w:szCs w:val="32"/>
        </w:rPr>
      </w:pPr>
      <w:r w:rsidRPr="00F83EBB">
        <w:rPr>
          <w:bCs/>
          <w:sz w:val="32"/>
          <w:szCs w:val="32"/>
        </w:rPr>
        <w:t xml:space="preserve">ZepRa – </w:t>
      </w:r>
      <w:r w:rsidR="00F83EBB" w:rsidRPr="00F83EBB">
        <w:rPr>
          <w:bCs/>
          <w:sz w:val="32"/>
          <w:szCs w:val="32"/>
        </w:rPr>
        <w:br/>
      </w:r>
      <w:r w:rsidRPr="00F83EBB">
        <w:rPr>
          <w:bCs/>
          <w:sz w:val="32"/>
          <w:szCs w:val="32"/>
        </w:rPr>
        <w:t xml:space="preserve">Zeitschrift für </w:t>
      </w:r>
      <w:r w:rsidR="009D3BE3" w:rsidRPr="00F83EBB">
        <w:rPr>
          <w:bCs/>
          <w:sz w:val="32"/>
          <w:szCs w:val="32"/>
        </w:rPr>
        <w:t>praxisorientierte (De-)Radikalisierungsforschung</w:t>
      </w:r>
    </w:p>
    <w:p w14:paraId="6E2B6AAF" w14:textId="77777777" w:rsidR="00115378" w:rsidRPr="00F83EBB" w:rsidRDefault="00115378">
      <w:pPr>
        <w:rPr>
          <w:b/>
          <w:bCs/>
        </w:rPr>
      </w:pPr>
    </w:p>
    <w:p w14:paraId="38C79F83" w14:textId="77777777" w:rsidR="00AE7FBB" w:rsidRPr="00F83EBB" w:rsidRDefault="00115378">
      <w:pPr>
        <w:rPr>
          <w:bCs/>
          <w:sz w:val="32"/>
          <w:szCs w:val="32"/>
        </w:rPr>
      </w:pPr>
      <w:r w:rsidRPr="00F83EBB">
        <w:rPr>
          <w:bCs/>
          <w:sz w:val="32"/>
          <w:szCs w:val="32"/>
        </w:rPr>
        <w:t>Gesamtausgabe</w:t>
      </w:r>
    </w:p>
    <w:p w14:paraId="5C7368D7" w14:textId="77777777" w:rsidR="00AE7FBB" w:rsidRPr="00F83EBB" w:rsidRDefault="00AE7FBB">
      <w:pPr>
        <w:rPr>
          <w:bCs/>
          <w:sz w:val="32"/>
          <w:szCs w:val="32"/>
        </w:rPr>
      </w:pPr>
    </w:p>
    <w:p w14:paraId="10F60280" w14:textId="77777777" w:rsidR="00AE7FBB" w:rsidRPr="00F83EBB" w:rsidRDefault="00AE7FBB">
      <w:pPr>
        <w:rPr>
          <w:bCs/>
          <w:sz w:val="32"/>
          <w:szCs w:val="32"/>
        </w:rPr>
      </w:pPr>
    </w:p>
    <w:p w14:paraId="36125DD8" w14:textId="77777777" w:rsidR="00A77730" w:rsidRDefault="00AE7FBB">
      <w:pPr>
        <w:rPr>
          <w:bCs/>
          <w:sz w:val="32"/>
          <w:szCs w:val="32"/>
        </w:rPr>
      </w:pPr>
      <w:r w:rsidRPr="00F83EBB">
        <w:rPr>
          <w:bCs/>
          <w:sz w:val="32"/>
          <w:szCs w:val="32"/>
        </w:rPr>
        <w:t>Bd. 4 / Nr. 1 / 2025</w:t>
      </w:r>
    </w:p>
    <w:p w14:paraId="17BEBBCE" w14:textId="77777777" w:rsidR="00A77730" w:rsidRDefault="00A77730">
      <w:pPr>
        <w:rPr>
          <w:bCs/>
          <w:sz w:val="32"/>
          <w:szCs w:val="32"/>
        </w:rPr>
      </w:pPr>
    </w:p>
    <w:p w14:paraId="6BA22925" w14:textId="77777777" w:rsidR="00A77730" w:rsidRDefault="00A77730">
      <w:pPr>
        <w:rPr>
          <w:bCs/>
          <w:sz w:val="32"/>
          <w:szCs w:val="32"/>
        </w:rPr>
      </w:pPr>
    </w:p>
    <w:p w14:paraId="022F864C" w14:textId="77777777" w:rsidR="00A77730" w:rsidRDefault="00A77730">
      <w:pPr>
        <w:rPr>
          <w:bCs/>
          <w:sz w:val="32"/>
          <w:szCs w:val="32"/>
        </w:rPr>
      </w:pPr>
    </w:p>
    <w:p w14:paraId="4D591017" w14:textId="77777777" w:rsidR="00A77730" w:rsidRDefault="00A77730">
      <w:pPr>
        <w:rPr>
          <w:bCs/>
          <w:sz w:val="32"/>
          <w:szCs w:val="32"/>
        </w:rPr>
      </w:pPr>
    </w:p>
    <w:p w14:paraId="45B24B19" w14:textId="77777777" w:rsidR="00A77730" w:rsidRDefault="00A77730">
      <w:pPr>
        <w:rPr>
          <w:bCs/>
          <w:sz w:val="32"/>
          <w:szCs w:val="32"/>
        </w:rPr>
      </w:pPr>
    </w:p>
    <w:p w14:paraId="3434E0A7" w14:textId="77777777" w:rsidR="00A77730" w:rsidRDefault="00A77730">
      <w:pPr>
        <w:rPr>
          <w:bCs/>
          <w:sz w:val="32"/>
          <w:szCs w:val="32"/>
        </w:rPr>
      </w:pPr>
    </w:p>
    <w:p w14:paraId="3AF2F056" w14:textId="77777777" w:rsidR="00A77730" w:rsidRDefault="00A77730">
      <w:pPr>
        <w:rPr>
          <w:bCs/>
          <w:sz w:val="32"/>
          <w:szCs w:val="32"/>
        </w:rPr>
      </w:pPr>
    </w:p>
    <w:p w14:paraId="76133694" w14:textId="77777777" w:rsidR="00A77730" w:rsidRDefault="00A77730">
      <w:pPr>
        <w:rPr>
          <w:bCs/>
          <w:sz w:val="32"/>
          <w:szCs w:val="32"/>
        </w:rPr>
      </w:pPr>
    </w:p>
    <w:p w14:paraId="5C5E8911" w14:textId="77777777" w:rsidR="00A77730" w:rsidRDefault="00A77730">
      <w:pPr>
        <w:rPr>
          <w:bCs/>
          <w:sz w:val="32"/>
          <w:szCs w:val="32"/>
        </w:rPr>
      </w:pPr>
    </w:p>
    <w:p w14:paraId="4113EB08" w14:textId="77777777" w:rsidR="00A77730" w:rsidRDefault="00A77730">
      <w:pPr>
        <w:rPr>
          <w:bCs/>
          <w:sz w:val="32"/>
          <w:szCs w:val="32"/>
        </w:rPr>
      </w:pPr>
    </w:p>
    <w:p w14:paraId="25B00143" w14:textId="77777777" w:rsidR="00A77730" w:rsidRDefault="00A77730">
      <w:pPr>
        <w:rPr>
          <w:bCs/>
          <w:sz w:val="32"/>
          <w:szCs w:val="32"/>
        </w:rPr>
      </w:pPr>
    </w:p>
    <w:p w14:paraId="1AFFE35E" w14:textId="77777777" w:rsidR="00A77730" w:rsidRDefault="00A77730">
      <w:pPr>
        <w:rPr>
          <w:bCs/>
          <w:sz w:val="32"/>
          <w:szCs w:val="32"/>
        </w:rPr>
      </w:pPr>
    </w:p>
    <w:p w14:paraId="67501624" w14:textId="77777777" w:rsidR="00A77730" w:rsidRDefault="00A77730">
      <w:pPr>
        <w:rPr>
          <w:bCs/>
          <w:sz w:val="32"/>
          <w:szCs w:val="32"/>
        </w:rPr>
      </w:pPr>
    </w:p>
    <w:p w14:paraId="517C6E81" w14:textId="77777777" w:rsidR="00A77730" w:rsidRDefault="00A77730">
      <w:pPr>
        <w:rPr>
          <w:bCs/>
          <w:sz w:val="32"/>
          <w:szCs w:val="32"/>
        </w:rPr>
      </w:pPr>
    </w:p>
    <w:p w14:paraId="2672609E" w14:textId="77777777" w:rsidR="00A77730" w:rsidRDefault="00A77730">
      <w:pPr>
        <w:rPr>
          <w:bCs/>
          <w:sz w:val="32"/>
          <w:szCs w:val="32"/>
        </w:rPr>
      </w:pPr>
    </w:p>
    <w:p w14:paraId="1FEAD0AF" w14:textId="77777777" w:rsidR="00A77730" w:rsidRDefault="00A77730">
      <w:pPr>
        <w:rPr>
          <w:bCs/>
          <w:sz w:val="32"/>
          <w:szCs w:val="32"/>
        </w:rPr>
      </w:pPr>
    </w:p>
    <w:p w14:paraId="5E86FCC4" w14:textId="77777777" w:rsidR="00A77730" w:rsidRDefault="00A77730">
      <w:pPr>
        <w:rPr>
          <w:bCs/>
          <w:sz w:val="32"/>
          <w:szCs w:val="32"/>
        </w:rPr>
      </w:pPr>
    </w:p>
    <w:p w14:paraId="5427D39F" w14:textId="7B9BDBF8" w:rsidR="009D3BE3" w:rsidRPr="00F83EBB" w:rsidRDefault="00A77730">
      <w:pPr>
        <w:rPr>
          <w:b/>
          <w:bCs/>
        </w:rPr>
      </w:pPr>
      <w:r w:rsidRPr="00FF1BDF">
        <w:rPr>
          <w:rFonts w:ascii="Calibri" w:hAnsi="Calibri" w:cs="Calibri"/>
          <w:b/>
        </w:rPr>
        <w:t xml:space="preserve">ISSN 2750-1345 </w:t>
      </w:r>
      <w:r w:rsidR="009D3BE3" w:rsidRPr="00F83EBB">
        <w:rPr>
          <w:b/>
          <w:bCs/>
        </w:rPr>
        <w:br w:type="page"/>
      </w:r>
    </w:p>
    <w:p w14:paraId="09CC9AD2" w14:textId="3632C121" w:rsidR="00A87A8D" w:rsidRPr="00F00BD3" w:rsidRDefault="00A87A8D" w:rsidP="00A87A8D">
      <w:pPr>
        <w:rPr>
          <w:b/>
          <w:bCs/>
        </w:rPr>
      </w:pPr>
      <w:r w:rsidRPr="00F00BD3">
        <w:rPr>
          <w:b/>
          <w:bCs/>
        </w:rPr>
        <w:lastRenderedPageBreak/>
        <w:t>Willkommensworte</w:t>
      </w:r>
    </w:p>
    <w:p w14:paraId="095C2928" w14:textId="77777777" w:rsidR="00A87A8D" w:rsidRDefault="00A87A8D" w:rsidP="00A87A8D">
      <w:pPr>
        <w:jc w:val="both"/>
        <w:rPr>
          <w:rFonts w:ascii="Calibri" w:hAnsi="Calibri" w:cs="Calibri"/>
        </w:rPr>
      </w:pPr>
      <w:r w:rsidRPr="00807E0B">
        <w:rPr>
          <w:rFonts w:ascii="Calibri" w:hAnsi="Calibri" w:cs="Calibri"/>
        </w:rPr>
        <w:br/>
        <w:t>Liebe</w:t>
      </w:r>
      <w:r>
        <w:rPr>
          <w:rFonts w:ascii="Calibri" w:hAnsi="Calibri" w:cs="Calibri"/>
        </w:rPr>
        <w:t xml:space="preserve"> </w:t>
      </w:r>
      <w:r w:rsidRPr="00807E0B">
        <w:rPr>
          <w:rFonts w:ascii="Calibri" w:hAnsi="Calibri" w:cs="Calibri"/>
        </w:rPr>
        <w:t>Leser*innen,</w:t>
      </w:r>
    </w:p>
    <w:p w14:paraId="69CE7C61" w14:textId="77777777" w:rsidR="00FD3665" w:rsidRPr="00807E0B" w:rsidRDefault="00A87A8D" w:rsidP="00FD3665">
      <w:pPr>
        <w:jc w:val="both"/>
        <w:rPr>
          <w:rFonts w:ascii="Calibri" w:hAnsi="Calibri" w:cs="Calibri"/>
        </w:rPr>
      </w:pPr>
      <w:r w:rsidRPr="00807E0B">
        <w:rPr>
          <w:rFonts w:ascii="Calibri" w:hAnsi="Calibri" w:cs="Calibri"/>
        </w:rPr>
        <w:br/>
      </w:r>
      <w:r w:rsidR="00FD3665" w:rsidRPr="00807E0B">
        <w:rPr>
          <w:rFonts w:ascii="Calibri" w:hAnsi="Calibri" w:cs="Calibri"/>
        </w:rPr>
        <w:t xml:space="preserve">mit großer Freude möchten wir Ihnen mitteilen, dass wir mit dieser Ausgabe begonnen haben, die Beiträge unseres Journals </w:t>
      </w:r>
      <w:r w:rsidR="00FD3665" w:rsidRPr="00807E0B">
        <w:rPr>
          <w:rFonts w:ascii="Calibri" w:hAnsi="Calibri" w:cs="Calibri"/>
          <w:i/>
          <w:iCs/>
        </w:rPr>
        <w:t>ZepRa</w:t>
      </w:r>
      <w:r w:rsidR="00FD3665">
        <w:rPr>
          <w:rFonts w:ascii="Calibri" w:hAnsi="Calibri" w:cs="Calibri"/>
          <w:i/>
          <w:iCs/>
        </w:rPr>
        <w:t xml:space="preserve"> -</w:t>
      </w:r>
      <w:r w:rsidR="00FD3665" w:rsidRPr="00807E0B">
        <w:rPr>
          <w:rFonts w:ascii="Calibri" w:hAnsi="Calibri" w:cs="Calibri"/>
          <w:i/>
          <w:iCs/>
        </w:rPr>
        <w:t xml:space="preserve"> Zeitschrift für praxisorientierte (De-)Radikalisierungsforschung</w:t>
      </w:r>
      <w:r w:rsidR="00FD3665" w:rsidRPr="00807E0B">
        <w:rPr>
          <w:rFonts w:ascii="Calibri" w:hAnsi="Calibri" w:cs="Calibri"/>
        </w:rPr>
        <w:t xml:space="preserve"> </w:t>
      </w:r>
      <w:r w:rsidR="00FD3665">
        <w:rPr>
          <w:rFonts w:ascii="Calibri" w:hAnsi="Calibri" w:cs="Calibri"/>
        </w:rPr>
        <w:t>fortlaufend</w:t>
      </w:r>
      <w:r w:rsidR="00FD3665" w:rsidRPr="00807E0B">
        <w:rPr>
          <w:rFonts w:ascii="Calibri" w:hAnsi="Calibri" w:cs="Calibri"/>
        </w:rPr>
        <w:t xml:space="preserve"> zu veröffentlichen. Damit möchten wir gewährleisten, dass </w:t>
      </w:r>
      <w:r w:rsidR="00FD3665">
        <w:rPr>
          <w:rFonts w:ascii="Calibri" w:hAnsi="Calibri" w:cs="Calibri"/>
        </w:rPr>
        <w:t xml:space="preserve">Ihnen </w:t>
      </w:r>
      <w:r w:rsidR="00FD3665" w:rsidRPr="00807E0B">
        <w:rPr>
          <w:rFonts w:ascii="Calibri" w:hAnsi="Calibri" w:cs="Calibri"/>
        </w:rPr>
        <w:t>neueste wissenschaftliche Erkenntnisse und Debattenbeiträge aus der (De-)Radikalisierungsforschung sowie angrenzenden Feldern zeitn</w:t>
      </w:r>
      <w:r w:rsidR="00FD3665">
        <w:rPr>
          <w:rFonts w:ascii="Calibri" w:hAnsi="Calibri" w:cs="Calibri"/>
        </w:rPr>
        <w:t>ah</w:t>
      </w:r>
      <w:r w:rsidR="00FD3665" w:rsidRPr="00807E0B">
        <w:rPr>
          <w:rFonts w:ascii="Calibri" w:hAnsi="Calibri" w:cs="Calibri"/>
        </w:rPr>
        <w:t xml:space="preserve"> zugänglich sind.</w:t>
      </w:r>
    </w:p>
    <w:p w14:paraId="31868183" w14:textId="77777777" w:rsidR="00FD3665" w:rsidRPr="00807E0B" w:rsidRDefault="00FD3665" w:rsidP="00FD3665">
      <w:pPr>
        <w:jc w:val="both"/>
        <w:rPr>
          <w:rFonts w:ascii="Calibri" w:hAnsi="Calibri" w:cs="Calibri"/>
        </w:rPr>
      </w:pPr>
      <w:r w:rsidRPr="00807E0B">
        <w:rPr>
          <w:rFonts w:ascii="Calibri" w:hAnsi="Calibri" w:cs="Calibri"/>
          <w:i/>
          <w:iCs/>
        </w:rPr>
        <w:t>ZepRa</w:t>
      </w:r>
      <w:r w:rsidRPr="00807E0B">
        <w:rPr>
          <w:rFonts w:ascii="Calibri" w:hAnsi="Calibri" w:cs="Calibri"/>
        </w:rPr>
        <w:t xml:space="preserve"> wird weiterhin als Kooperationsprojekt von </w:t>
      </w:r>
      <w:r w:rsidRPr="008D61E9">
        <w:rPr>
          <w:rFonts w:ascii="Calibri" w:hAnsi="Calibri" w:cs="Calibri"/>
          <w:i/>
          <w:iCs/>
        </w:rPr>
        <w:t>Violence Prevention Network</w:t>
      </w:r>
      <w:r w:rsidRPr="00807E0B">
        <w:rPr>
          <w:rFonts w:ascii="Calibri" w:hAnsi="Calibri" w:cs="Calibri"/>
        </w:rPr>
        <w:t xml:space="preserve"> (Fachbereich Wissenschaft) sowie von </w:t>
      </w:r>
      <w:r w:rsidRPr="008D61E9">
        <w:rPr>
          <w:rFonts w:ascii="Calibri" w:hAnsi="Calibri" w:cs="Calibri"/>
          <w:i/>
          <w:iCs/>
        </w:rPr>
        <w:t>modus|zad – Zentrum für angewandte Deradikalisierungsforschung</w:t>
      </w:r>
      <w:r w:rsidRPr="00807E0B">
        <w:rPr>
          <w:rFonts w:ascii="Calibri" w:hAnsi="Calibri" w:cs="Calibri"/>
        </w:rPr>
        <w:t xml:space="preserve"> herausgegeben. Unser Ziel bleibt, ein frei zugängliches, deutschsprachiges Fachjournal an der Schnittstelle von Wissenschaft, Praxis und Politik anzubieten – und so Raum für fundierte Diskussion und Impulse für die Weiterentwicklung von Forschung und Praxis zu schaffen.</w:t>
      </w:r>
    </w:p>
    <w:p w14:paraId="10234420" w14:textId="77777777" w:rsidR="00FD3665" w:rsidRDefault="00FD3665" w:rsidP="00FD3665">
      <w:pPr>
        <w:jc w:val="both"/>
        <w:rPr>
          <w:rFonts w:ascii="Calibri" w:hAnsi="Calibri" w:cs="Calibri"/>
        </w:rPr>
      </w:pPr>
      <w:r w:rsidRPr="00807E0B">
        <w:rPr>
          <w:rFonts w:ascii="Calibri" w:hAnsi="Calibri" w:cs="Calibri"/>
        </w:rPr>
        <w:t>Den Auftakt zur vierten Ausgabe bildet ein hochaktueller Beitrag</w:t>
      </w:r>
      <w:r>
        <w:rPr>
          <w:rFonts w:ascii="Calibri" w:hAnsi="Calibri" w:cs="Calibri"/>
        </w:rPr>
        <w:t xml:space="preserve"> von Simon Schädler und Mira Schwarz</w:t>
      </w:r>
      <w:r w:rsidRPr="00807E0B">
        <w:rPr>
          <w:rFonts w:ascii="Calibri" w:hAnsi="Calibri" w:cs="Calibri"/>
        </w:rPr>
        <w:t xml:space="preserve">, der sich mit einer sowohl rechtlich als auch gesellschaftspolitisch brisanten Frage beschäftigt: </w:t>
      </w:r>
      <w:r w:rsidRPr="00807E0B">
        <w:rPr>
          <w:rFonts w:ascii="Calibri" w:hAnsi="Calibri" w:cs="Calibri"/>
          <w:i/>
          <w:iCs/>
        </w:rPr>
        <w:t xml:space="preserve">„Welche </w:t>
      </w:r>
      <w:proofErr w:type="gramStart"/>
      <w:r w:rsidRPr="00807E0B">
        <w:rPr>
          <w:rFonts w:ascii="Calibri" w:hAnsi="Calibri" w:cs="Calibri"/>
          <w:i/>
          <w:iCs/>
        </w:rPr>
        <w:t>Bürger:innen</w:t>
      </w:r>
      <w:proofErr w:type="gramEnd"/>
      <w:r w:rsidRPr="00807E0B">
        <w:rPr>
          <w:rFonts w:ascii="Calibri" w:hAnsi="Calibri" w:cs="Calibri"/>
          <w:i/>
          <w:iCs/>
        </w:rPr>
        <w:t xml:space="preserve"> erträgt das Land?“ – Entzug der Staatsbürgerschaft bei extremistischen und/oder radikalisierten </w:t>
      </w:r>
      <w:proofErr w:type="gramStart"/>
      <w:r w:rsidRPr="00807E0B">
        <w:rPr>
          <w:rFonts w:ascii="Calibri" w:hAnsi="Calibri" w:cs="Calibri"/>
          <w:i/>
          <w:iCs/>
        </w:rPr>
        <w:t>Straftäter:innen</w:t>
      </w:r>
      <w:proofErr w:type="gramEnd"/>
      <w:r w:rsidRPr="00807E0B">
        <w:rPr>
          <w:rFonts w:ascii="Calibri" w:hAnsi="Calibri" w:cs="Calibri"/>
          <w:i/>
          <w:iCs/>
        </w:rPr>
        <w:t xml:space="preserve"> am Beispiel der Schweiz</w:t>
      </w:r>
      <w:r w:rsidRPr="00807E0B">
        <w:rPr>
          <w:rFonts w:ascii="Calibri" w:hAnsi="Calibri" w:cs="Calibri"/>
        </w:rPr>
        <w:t>. Der Beitrag beleuchtet nicht nur die innenpolitischen Kontroversen um diesen Ansatz, sondern diskutiert auch die völkerrechtlichen, menschenrechtlichen und demokratietheoretischen Implikationen, die mit dem Entzug staatsbürgerlicher Rechte verbunden sind. Eine Debatte, deren Relevanz weit über den Schweizer Kontext hinausweist und Rückwirkungen auf die internationale (Sicherheits-)Landschaft entfalten kann.</w:t>
      </w:r>
    </w:p>
    <w:p w14:paraId="33F948AE" w14:textId="77777777" w:rsidR="00FD3665" w:rsidRDefault="00FD3665" w:rsidP="00FD3665">
      <w:pPr>
        <w:jc w:val="both"/>
        <w:rPr>
          <w:rFonts w:ascii="Calibri" w:hAnsi="Calibri" w:cs="Calibri"/>
        </w:rPr>
      </w:pPr>
      <w:r>
        <w:rPr>
          <w:rFonts w:ascii="Calibri" w:hAnsi="Calibri" w:cs="Calibri"/>
        </w:rPr>
        <w:t xml:space="preserve">Der darauffolgende Artikel von Rahel Sarai Kellich beleuchtet ein Thema, das auch in der praktischen Arbeit seit einiger Zeit kontinuierlich an Relevanz zunimmt: </w:t>
      </w:r>
      <w:r>
        <w:rPr>
          <w:rFonts w:ascii="Calibri" w:hAnsi="Calibri" w:cs="Calibri"/>
          <w:i/>
          <w:iCs/>
        </w:rPr>
        <w:t xml:space="preserve">Christlicher Fundamentalismus in Deutschland: Bestandsaufnahme und pädagogische Implikationen. </w:t>
      </w:r>
      <w:r>
        <w:rPr>
          <w:rFonts w:ascii="Calibri" w:hAnsi="Calibri" w:cs="Calibri"/>
        </w:rPr>
        <w:t>Darin unternimmt die Autorin eine Bestandsaufnahme der Strukturen und vergleicht die Dynamiken in Deutschland mit den in vielerlei Hinsicht eng verbundenen Netzwerken des christlichen Fundamentalismus in den Vereinigten Staaten. Ein wichtiger Beitrag zu den hiesigen Forschungs- und Praxisdiskursen, der einige wichtige Erkenntnisse für die Extremismusprävention bereithält.</w:t>
      </w:r>
    </w:p>
    <w:p w14:paraId="7D6618DE" w14:textId="77777777" w:rsidR="00FD3665" w:rsidRPr="00433ACB" w:rsidRDefault="00FD3665" w:rsidP="00FD3665">
      <w:pPr>
        <w:jc w:val="both"/>
        <w:rPr>
          <w:rFonts w:ascii="Calibri" w:hAnsi="Calibri" w:cs="Calibri"/>
        </w:rPr>
      </w:pPr>
      <w:r>
        <w:rPr>
          <w:rFonts w:ascii="Calibri" w:hAnsi="Calibri" w:cs="Calibri"/>
        </w:rPr>
        <w:t xml:space="preserve">Zu guter Letzt widmen sich Dennis Walkenhorst und Jens Ostwaldt in ihrem Beitrag einem ganz spezifischen Praxissetting: </w:t>
      </w:r>
      <w:r>
        <w:rPr>
          <w:rFonts w:ascii="Calibri" w:hAnsi="Calibri" w:cs="Calibri"/>
          <w:i/>
          <w:iCs/>
        </w:rPr>
        <w:t>Bedroht, beleidigt, belastet: Herausforderungen der psychosozialen Beratung für Amts- und Mandatsträger*innen</w:t>
      </w:r>
      <w:r>
        <w:rPr>
          <w:rFonts w:ascii="Calibri" w:hAnsi="Calibri" w:cs="Calibri"/>
        </w:rPr>
        <w:t xml:space="preserve">. Die Autoren betrachten, wie gewählte Vertreter*innen und </w:t>
      </w:r>
      <w:proofErr w:type="gramStart"/>
      <w:r>
        <w:rPr>
          <w:rFonts w:ascii="Calibri" w:hAnsi="Calibri" w:cs="Calibri"/>
        </w:rPr>
        <w:t>Beamt</w:t>
      </w:r>
      <w:proofErr w:type="gramEnd"/>
      <w:r>
        <w:rPr>
          <w:rFonts w:ascii="Calibri" w:hAnsi="Calibri" w:cs="Calibri"/>
        </w:rPr>
        <w:t>*innen in Verwaltungen zunehmend mit Anfeindungen konfrontiert sind und welchen Herausforderungen sie in Bezug auf die Inanspruchnahme von Beratungs- und Unterstützungsleistungen unterliegen. Ganz im Sinne eines praxisorientierten Diskussionsbeitrags formulieren sie Forschungsbedarfe und Handlungsempfehlungen, um sich dem Thema in Zukunft systematischer und im Sinne der wehrhaften Demokratie zuzuwenden.</w:t>
      </w:r>
    </w:p>
    <w:p w14:paraId="3DF567B3" w14:textId="764A714D" w:rsidR="00A87A8D" w:rsidRPr="00FD3665" w:rsidRDefault="00FD3665" w:rsidP="00FD3665">
      <w:pPr>
        <w:jc w:val="both"/>
        <w:rPr>
          <w:rFonts w:ascii="Calibri" w:hAnsi="Calibri" w:cs="Calibri"/>
        </w:rPr>
      </w:pPr>
      <w:r w:rsidRPr="00807E0B">
        <w:rPr>
          <w:rFonts w:ascii="Calibri" w:hAnsi="Calibri" w:cs="Calibri"/>
        </w:rPr>
        <w:t xml:space="preserve">Wir </w:t>
      </w:r>
      <w:r>
        <w:rPr>
          <w:rFonts w:ascii="Calibri" w:hAnsi="Calibri" w:cs="Calibri"/>
        </w:rPr>
        <w:t>wünschen</w:t>
      </w:r>
      <w:r w:rsidRPr="00807E0B">
        <w:rPr>
          <w:rFonts w:ascii="Calibri" w:hAnsi="Calibri" w:cs="Calibri"/>
        </w:rPr>
        <w:t xml:space="preserve"> eine anregende und erkenntnisreiche Lektüre</w:t>
      </w:r>
      <w:r>
        <w:rPr>
          <w:rFonts w:ascii="Calibri" w:hAnsi="Calibri" w:cs="Calibri"/>
        </w:rPr>
        <w:t>.</w:t>
      </w:r>
    </w:p>
    <w:p w14:paraId="31C57074" w14:textId="77777777" w:rsidR="00EA7DFF" w:rsidRDefault="00EA7DFF">
      <w:pPr>
        <w:rPr>
          <w:bCs/>
          <w:color w:val="016D72"/>
          <w:sz w:val="32"/>
          <w:szCs w:val="32"/>
        </w:rPr>
      </w:pPr>
      <w:r>
        <w:rPr>
          <w:bCs/>
          <w:color w:val="016D72"/>
          <w:sz w:val="32"/>
          <w:szCs w:val="32"/>
        </w:rPr>
        <w:br w:type="page"/>
      </w:r>
    </w:p>
    <w:p w14:paraId="57ECA2FF" w14:textId="355C5213" w:rsidR="00EA7DFF" w:rsidRDefault="00EA7DFF" w:rsidP="00EA7DFF">
      <w:pPr>
        <w:rPr>
          <w:bCs/>
          <w:color w:val="016D72"/>
          <w:sz w:val="32"/>
          <w:szCs w:val="32"/>
        </w:rPr>
      </w:pPr>
      <w:r w:rsidRPr="009A52DE">
        <w:rPr>
          <w:bCs/>
          <w:color w:val="016D72"/>
          <w:sz w:val="32"/>
          <w:szCs w:val="32"/>
        </w:rPr>
        <w:lastRenderedPageBreak/>
        <w:t>Gesamtinhaltsverzeichnis</w:t>
      </w:r>
    </w:p>
    <w:p w14:paraId="70512061" w14:textId="77777777" w:rsidR="007C4EAD" w:rsidRPr="00CA52C7" w:rsidRDefault="007C4EAD" w:rsidP="00EA7DFF">
      <w:pPr>
        <w:rPr>
          <w:bCs/>
          <w:color w:val="016D72"/>
          <w:sz w:val="32"/>
          <w:szCs w:val="32"/>
        </w:rPr>
      </w:pPr>
    </w:p>
    <w:p w14:paraId="2C35EDD9" w14:textId="24642DBF" w:rsidR="00EA7DFF" w:rsidRPr="008B752C" w:rsidRDefault="00EA7DFF" w:rsidP="00EA7DFF">
      <w:pPr>
        <w:spacing w:after="120" w:line="240" w:lineRule="auto"/>
        <w:rPr>
          <w:b/>
        </w:rPr>
      </w:pPr>
      <w:r w:rsidRPr="008B752C">
        <w:rPr>
          <w:b/>
        </w:rPr>
        <w:t>Willkommensworte</w:t>
      </w:r>
      <w:r>
        <w:rPr>
          <w:b/>
        </w:rPr>
        <w:t xml:space="preserve"> </w:t>
      </w:r>
      <w:r w:rsidRPr="008B752C">
        <w:rPr>
          <w:b/>
        </w:rPr>
        <w:t>........................................................................................................................2</w:t>
      </w:r>
    </w:p>
    <w:p w14:paraId="2BF2762D" w14:textId="77777777" w:rsidR="00EA7DFF" w:rsidRDefault="00EA7DFF" w:rsidP="00EA7DFF">
      <w:pPr>
        <w:spacing w:after="120" w:line="276" w:lineRule="auto"/>
        <w:jc w:val="both"/>
        <w:rPr>
          <w:rFonts w:cstheme="minorHAnsi"/>
          <w:b/>
          <w:bCs/>
        </w:rPr>
      </w:pPr>
    </w:p>
    <w:p w14:paraId="0FAC55BF" w14:textId="63100B57" w:rsidR="00EA7DFF" w:rsidRPr="00D92669" w:rsidRDefault="00EA7DFF" w:rsidP="00EA7DFF">
      <w:pPr>
        <w:spacing w:after="120" w:line="276" w:lineRule="auto"/>
        <w:rPr>
          <w:rFonts w:cstheme="minorHAnsi"/>
          <w:b/>
          <w:bCs/>
        </w:rPr>
      </w:pPr>
      <w:r w:rsidRPr="004D58E9">
        <w:rPr>
          <w:rFonts w:cstheme="minorHAnsi"/>
          <w:b/>
          <w:bCs/>
        </w:rPr>
        <w:t xml:space="preserve">Welche </w:t>
      </w:r>
      <w:proofErr w:type="gramStart"/>
      <w:r w:rsidRPr="004D58E9">
        <w:rPr>
          <w:rFonts w:cstheme="minorHAnsi"/>
          <w:b/>
          <w:bCs/>
        </w:rPr>
        <w:t>Bürger:innen</w:t>
      </w:r>
      <w:proofErr w:type="gramEnd"/>
      <w:r w:rsidRPr="004D58E9">
        <w:rPr>
          <w:rFonts w:cstheme="minorHAnsi"/>
          <w:b/>
          <w:bCs/>
        </w:rPr>
        <w:t xml:space="preserve"> erträgt das Land?</w:t>
      </w:r>
      <w:r>
        <w:rPr>
          <w:rFonts w:cstheme="minorHAnsi"/>
          <w:b/>
          <w:bCs/>
        </w:rPr>
        <w:t xml:space="preserve"> - </w:t>
      </w:r>
      <w:r w:rsidRPr="004D58E9">
        <w:rPr>
          <w:rFonts w:cstheme="minorHAnsi"/>
          <w:b/>
          <w:bCs/>
        </w:rPr>
        <w:t xml:space="preserve">Entzug der Staatsbürgerschaft bei extremistischen und/oder radikalisierten </w:t>
      </w:r>
      <w:proofErr w:type="gramStart"/>
      <w:r w:rsidRPr="004D58E9">
        <w:rPr>
          <w:rFonts w:cstheme="minorHAnsi"/>
          <w:b/>
          <w:bCs/>
        </w:rPr>
        <w:t>Straftäter:innen</w:t>
      </w:r>
      <w:proofErr w:type="gramEnd"/>
      <w:r w:rsidRPr="004D58E9">
        <w:rPr>
          <w:rFonts w:cstheme="minorHAnsi"/>
          <w:b/>
          <w:bCs/>
        </w:rPr>
        <w:t xml:space="preserve"> am Beispiel der Schweiz</w:t>
      </w:r>
      <w:r w:rsidRPr="00D92669">
        <w:rPr>
          <w:b/>
          <w:bCs/>
        </w:rPr>
        <w:t>................................................</w:t>
      </w:r>
      <w:r w:rsidR="003206D3">
        <w:rPr>
          <w:b/>
          <w:bCs/>
        </w:rPr>
        <w:t>..</w:t>
      </w:r>
      <w:r w:rsidRPr="00D92669">
        <w:rPr>
          <w:b/>
          <w:bCs/>
        </w:rPr>
        <w:t>4</w:t>
      </w:r>
    </w:p>
    <w:p w14:paraId="6162391B" w14:textId="5ABCEEC3" w:rsidR="00EA7DFF" w:rsidRPr="00B33CF3" w:rsidRDefault="00EA7DFF" w:rsidP="00EA7DFF">
      <w:pPr>
        <w:spacing w:after="120" w:line="240" w:lineRule="auto"/>
        <w:rPr>
          <w:i/>
          <w:iCs/>
        </w:rPr>
      </w:pPr>
      <w:r>
        <w:rPr>
          <w:i/>
          <w:iCs/>
        </w:rPr>
        <w:t>Simon Schädler und Mira Schwarz</w:t>
      </w:r>
    </w:p>
    <w:p w14:paraId="1035ADE8" w14:textId="77777777" w:rsidR="00EA7DFF" w:rsidRDefault="00EA7DFF" w:rsidP="00EA7DFF"/>
    <w:p w14:paraId="6E878489" w14:textId="1B874495" w:rsidR="006C3A66" w:rsidRDefault="006C3A66" w:rsidP="006C3A66">
      <w:pPr>
        <w:spacing w:after="120" w:line="276" w:lineRule="auto"/>
        <w:rPr>
          <w:rFonts w:cstheme="minorHAnsi"/>
          <w:b/>
          <w:bCs/>
        </w:rPr>
      </w:pPr>
      <w:r w:rsidRPr="006C3A66">
        <w:rPr>
          <w:rFonts w:cstheme="minorHAnsi"/>
          <w:b/>
          <w:bCs/>
        </w:rPr>
        <w:t>Christlicher Fundamentalismus in Deutschland: Bestandsaufnahme und pädagogische Implikationen</w:t>
      </w:r>
      <w:r>
        <w:rPr>
          <w:rFonts w:cstheme="minorHAnsi"/>
          <w:b/>
          <w:bCs/>
        </w:rPr>
        <w:t>………………………………………………………………………………………………………………………</w:t>
      </w:r>
      <w:r w:rsidR="00277AAD">
        <w:rPr>
          <w:rFonts w:cstheme="minorHAnsi"/>
          <w:b/>
          <w:bCs/>
        </w:rPr>
        <w:t>.</w:t>
      </w:r>
      <w:r>
        <w:rPr>
          <w:rFonts w:cstheme="minorHAnsi"/>
          <w:b/>
          <w:bCs/>
        </w:rPr>
        <w:t>…</w:t>
      </w:r>
      <w:r w:rsidR="003206D3">
        <w:rPr>
          <w:rFonts w:cstheme="minorHAnsi"/>
          <w:b/>
          <w:bCs/>
        </w:rPr>
        <w:t>….</w:t>
      </w:r>
      <w:r>
        <w:rPr>
          <w:rFonts w:cstheme="minorHAnsi"/>
          <w:b/>
          <w:bCs/>
        </w:rPr>
        <w:t>36</w:t>
      </w:r>
    </w:p>
    <w:p w14:paraId="34633A09" w14:textId="621B4090" w:rsidR="006C3A66" w:rsidRPr="005E00B3" w:rsidRDefault="006C3A66" w:rsidP="006C3A66">
      <w:pPr>
        <w:spacing w:after="120" w:line="276" w:lineRule="auto"/>
        <w:rPr>
          <w:rFonts w:cstheme="minorHAnsi"/>
          <w:i/>
          <w:iCs/>
        </w:rPr>
      </w:pPr>
      <w:r w:rsidRPr="005E00B3">
        <w:rPr>
          <w:rFonts w:cstheme="minorHAnsi"/>
          <w:i/>
          <w:iCs/>
        </w:rPr>
        <w:t>Rahel Sarai Kellich</w:t>
      </w:r>
    </w:p>
    <w:p w14:paraId="63FED08F" w14:textId="77777777" w:rsidR="00277AAD" w:rsidRDefault="00277AAD" w:rsidP="006C3A66">
      <w:pPr>
        <w:spacing w:after="120" w:line="276" w:lineRule="auto"/>
        <w:rPr>
          <w:rFonts w:cstheme="minorHAnsi"/>
        </w:rPr>
      </w:pPr>
    </w:p>
    <w:p w14:paraId="27BD52AD" w14:textId="51495B1D" w:rsidR="002C7EE8" w:rsidRDefault="002C7EE8" w:rsidP="006C3A66">
      <w:pPr>
        <w:spacing w:after="120" w:line="276" w:lineRule="auto"/>
        <w:rPr>
          <w:rFonts w:cstheme="minorHAnsi"/>
          <w:b/>
          <w:bCs/>
        </w:rPr>
      </w:pPr>
      <w:r w:rsidRPr="002C7EE8">
        <w:rPr>
          <w:rFonts w:cstheme="minorHAnsi"/>
          <w:b/>
          <w:bCs/>
        </w:rPr>
        <w:t>Praxis und Debatte</w:t>
      </w:r>
      <w:r>
        <w:rPr>
          <w:rFonts w:cstheme="minorHAnsi"/>
          <w:b/>
          <w:bCs/>
        </w:rPr>
        <w:t>……………………………………………………………………………………………………………………….67</w:t>
      </w:r>
    </w:p>
    <w:p w14:paraId="5CCA5A57" w14:textId="77777777" w:rsidR="002C7EE8" w:rsidRPr="002C7EE8" w:rsidRDefault="002C7EE8" w:rsidP="006C3A66">
      <w:pPr>
        <w:spacing w:after="120" w:line="276" w:lineRule="auto"/>
        <w:rPr>
          <w:rFonts w:cstheme="minorHAnsi"/>
          <w:b/>
          <w:bCs/>
        </w:rPr>
      </w:pPr>
    </w:p>
    <w:p w14:paraId="5DFFAD56" w14:textId="5DC3EAA7" w:rsidR="002050B4" w:rsidRPr="00E81F80" w:rsidRDefault="002050B4" w:rsidP="002050B4">
      <w:pPr>
        <w:rPr>
          <w:b/>
        </w:rPr>
      </w:pPr>
      <w:r w:rsidRPr="00033FBB">
        <w:rPr>
          <w:b/>
        </w:rPr>
        <w:t>Bedroht, beleidigt, belastet:</w:t>
      </w:r>
      <w:r>
        <w:rPr>
          <w:b/>
        </w:rPr>
        <w:t xml:space="preserve"> </w:t>
      </w:r>
      <w:r w:rsidRPr="00033FBB">
        <w:rPr>
          <w:b/>
        </w:rPr>
        <w:t>Herausforderungen der psychosozialen Beratung für Amts- und Mandatsträger*innen</w:t>
      </w:r>
      <w:r>
        <w:rPr>
          <w:b/>
        </w:rPr>
        <w:t>…………………………………………………………………………………………………………………..68</w:t>
      </w:r>
    </w:p>
    <w:p w14:paraId="641FC022" w14:textId="30A6E1C7" w:rsidR="00277AAD" w:rsidRPr="005E00B3" w:rsidRDefault="002050B4" w:rsidP="006C3A66">
      <w:pPr>
        <w:spacing w:after="120" w:line="276" w:lineRule="auto"/>
        <w:rPr>
          <w:rFonts w:cstheme="minorHAnsi"/>
          <w:i/>
          <w:iCs/>
        </w:rPr>
      </w:pPr>
      <w:r w:rsidRPr="005E00B3">
        <w:rPr>
          <w:rFonts w:cstheme="minorHAnsi"/>
          <w:i/>
          <w:iCs/>
        </w:rPr>
        <w:t>Dennis Walkenhorst</w:t>
      </w:r>
    </w:p>
    <w:p w14:paraId="14C83454" w14:textId="73542757" w:rsidR="002050B4" w:rsidRPr="005E00B3" w:rsidRDefault="002050B4" w:rsidP="006C3A66">
      <w:pPr>
        <w:spacing w:after="120" w:line="276" w:lineRule="auto"/>
        <w:rPr>
          <w:rFonts w:cstheme="minorHAnsi"/>
          <w:i/>
          <w:iCs/>
        </w:rPr>
      </w:pPr>
      <w:r w:rsidRPr="005E00B3">
        <w:rPr>
          <w:rFonts w:cstheme="minorHAnsi"/>
          <w:i/>
          <w:iCs/>
        </w:rPr>
        <w:t>Jens Ostwaldt</w:t>
      </w:r>
    </w:p>
    <w:p w14:paraId="6432EED5" w14:textId="77777777" w:rsidR="002050B4" w:rsidRPr="006C3A66" w:rsidRDefault="002050B4" w:rsidP="006C3A66">
      <w:pPr>
        <w:spacing w:after="120" w:line="276" w:lineRule="auto"/>
        <w:rPr>
          <w:rFonts w:cstheme="minorHAnsi"/>
        </w:rPr>
      </w:pPr>
    </w:p>
    <w:p w14:paraId="765D62BD" w14:textId="0EA6C06E" w:rsidR="00EA7DFF" w:rsidRPr="00737DA5" w:rsidRDefault="00EA7DFF" w:rsidP="00EA7DFF">
      <w:pPr>
        <w:rPr>
          <w:b/>
          <w:bCs/>
        </w:rPr>
      </w:pPr>
      <w:r w:rsidRPr="00737DA5">
        <w:rPr>
          <w:b/>
          <w:bCs/>
        </w:rPr>
        <w:t>Impressum</w:t>
      </w:r>
      <w:r>
        <w:rPr>
          <w:b/>
          <w:bCs/>
        </w:rPr>
        <w:t xml:space="preserve"> </w:t>
      </w:r>
      <w:r w:rsidRPr="00737DA5">
        <w:rPr>
          <w:b/>
          <w:bCs/>
        </w:rPr>
        <w:t>..................................................................................................................................</w:t>
      </w:r>
      <w:r w:rsidR="00657826">
        <w:rPr>
          <w:b/>
          <w:bCs/>
        </w:rPr>
        <w:t>..87</w:t>
      </w:r>
    </w:p>
    <w:p w14:paraId="1BB1B1F2" w14:textId="77777777" w:rsidR="008C3B14" w:rsidRDefault="008C3B14">
      <w:r>
        <w:br w:type="page"/>
      </w:r>
    </w:p>
    <w:p w14:paraId="0B045CBF" w14:textId="77777777" w:rsidR="008C3B14" w:rsidRPr="00F83EBB" w:rsidRDefault="008C3B14" w:rsidP="008C3B14">
      <w:pPr>
        <w:rPr>
          <w:bCs/>
          <w:color w:val="016D72"/>
          <w:sz w:val="32"/>
          <w:szCs w:val="32"/>
        </w:rPr>
      </w:pPr>
      <w:r w:rsidRPr="00F83EBB">
        <w:rPr>
          <w:bCs/>
          <w:color w:val="016D72"/>
          <w:sz w:val="32"/>
          <w:szCs w:val="32"/>
        </w:rPr>
        <w:lastRenderedPageBreak/>
        <w:t xml:space="preserve">Welche </w:t>
      </w:r>
      <w:proofErr w:type="gramStart"/>
      <w:r w:rsidRPr="00F83EBB">
        <w:rPr>
          <w:bCs/>
          <w:color w:val="016D72"/>
          <w:sz w:val="32"/>
          <w:szCs w:val="32"/>
        </w:rPr>
        <w:t>Bürger:innen</w:t>
      </w:r>
      <w:proofErr w:type="gramEnd"/>
      <w:r w:rsidRPr="00F83EBB">
        <w:rPr>
          <w:bCs/>
          <w:color w:val="016D72"/>
          <w:sz w:val="32"/>
          <w:szCs w:val="32"/>
        </w:rPr>
        <w:t xml:space="preserve"> erträgt das Land?</w:t>
      </w:r>
    </w:p>
    <w:p w14:paraId="037B6E7F" w14:textId="209900A7" w:rsidR="003B59B0" w:rsidRPr="00C2236A" w:rsidRDefault="008C3B14" w:rsidP="00B76074">
      <w:pPr>
        <w:rPr>
          <w:b/>
          <w:bCs/>
        </w:rPr>
      </w:pPr>
      <w:r w:rsidRPr="00294A07">
        <w:rPr>
          <w:b/>
          <w:bCs/>
        </w:rPr>
        <w:t xml:space="preserve">Entzug der Staatsbürgerschaft bei extremistischen und/oder radikalisierten </w:t>
      </w:r>
      <w:proofErr w:type="gramStart"/>
      <w:r w:rsidRPr="00294A07">
        <w:rPr>
          <w:b/>
          <w:bCs/>
        </w:rPr>
        <w:t>Straftäter:innen</w:t>
      </w:r>
      <w:proofErr w:type="gramEnd"/>
      <w:r w:rsidRPr="00294A07">
        <w:rPr>
          <w:b/>
          <w:bCs/>
        </w:rPr>
        <w:t xml:space="preserve"> am Beispiel der Schweiz</w:t>
      </w:r>
    </w:p>
    <w:p w14:paraId="3BECA8F0" w14:textId="04A05615" w:rsidR="00B76074" w:rsidRDefault="00B76074" w:rsidP="00B76074">
      <w:r>
        <w:t>Simon Schädler</w:t>
      </w:r>
    </w:p>
    <w:p w14:paraId="103E3058" w14:textId="77777777" w:rsidR="00B76074" w:rsidRDefault="00B76074" w:rsidP="00B76074">
      <w:r>
        <w:t xml:space="preserve">Mira Schwarz </w:t>
      </w:r>
    </w:p>
    <w:p w14:paraId="2346B848" w14:textId="77777777" w:rsidR="00C2236A" w:rsidRDefault="00C2236A" w:rsidP="00B76074"/>
    <w:p w14:paraId="284566EB" w14:textId="5542FB01" w:rsidR="00A87A8D" w:rsidRDefault="00B76074" w:rsidP="00B76074">
      <w:pPr>
        <w:rPr>
          <w:rFonts w:asciiTheme="majorHAnsi" w:eastAsiaTheme="majorEastAsia" w:hAnsiTheme="majorHAnsi" w:cstheme="majorBidi"/>
          <w:spacing w:val="-10"/>
          <w:kern w:val="28"/>
          <w:sz w:val="56"/>
          <w:szCs w:val="56"/>
          <w:lang w:val="de-CH"/>
          <w14:ligatures w14:val="standardContextual"/>
        </w:rPr>
      </w:pPr>
      <w:r>
        <w:t>Bd. 4 / Nr. 1 / 2025</w:t>
      </w:r>
      <w:r w:rsidR="00A87A8D">
        <w:br w:type="page"/>
      </w:r>
    </w:p>
    <w:p w14:paraId="528805C8" w14:textId="6436E03D" w:rsidR="00E81F80" w:rsidRPr="00F83EBB" w:rsidRDefault="0046220B" w:rsidP="00F83EBB">
      <w:pPr>
        <w:rPr>
          <w:bCs/>
          <w:color w:val="016D72"/>
          <w:sz w:val="32"/>
          <w:szCs w:val="32"/>
        </w:rPr>
      </w:pPr>
      <w:r w:rsidRPr="00F83EBB">
        <w:rPr>
          <w:bCs/>
          <w:color w:val="016D72"/>
          <w:sz w:val="32"/>
          <w:szCs w:val="32"/>
        </w:rPr>
        <w:lastRenderedPageBreak/>
        <w:t xml:space="preserve">Welche </w:t>
      </w:r>
      <w:proofErr w:type="gramStart"/>
      <w:r w:rsidRPr="00F83EBB">
        <w:rPr>
          <w:bCs/>
          <w:color w:val="016D72"/>
          <w:sz w:val="32"/>
          <w:szCs w:val="32"/>
        </w:rPr>
        <w:t>Bürger:innen</w:t>
      </w:r>
      <w:proofErr w:type="gramEnd"/>
      <w:r w:rsidRPr="00F83EBB">
        <w:rPr>
          <w:bCs/>
          <w:color w:val="016D72"/>
          <w:sz w:val="32"/>
          <w:szCs w:val="32"/>
        </w:rPr>
        <w:t xml:space="preserve"> erträgt das Land?</w:t>
      </w:r>
    </w:p>
    <w:p w14:paraId="47529DE0" w14:textId="12273BD5" w:rsidR="007E3CF3" w:rsidRPr="00294A07" w:rsidRDefault="0046220B" w:rsidP="00294A07">
      <w:pPr>
        <w:spacing w:line="276" w:lineRule="auto"/>
        <w:jc w:val="both"/>
        <w:rPr>
          <w:rFonts w:cstheme="minorHAnsi"/>
          <w:b/>
          <w:bCs/>
          <w:color w:val="000000" w:themeColor="text1"/>
        </w:rPr>
      </w:pPr>
      <w:r w:rsidRPr="00294A07">
        <w:rPr>
          <w:rFonts w:cstheme="minorHAnsi"/>
          <w:b/>
          <w:bCs/>
          <w:color w:val="000000" w:themeColor="text1"/>
        </w:rPr>
        <w:t xml:space="preserve">Entzug der Staatsbürgerschaft bei extremistischen und/oder radikalisierten </w:t>
      </w:r>
      <w:proofErr w:type="gramStart"/>
      <w:r w:rsidRPr="00294A07">
        <w:rPr>
          <w:rFonts w:cstheme="minorHAnsi"/>
          <w:b/>
          <w:bCs/>
          <w:color w:val="000000" w:themeColor="text1"/>
        </w:rPr>
        <w:t>Straftäter:innen</w:t>
      </w:r>
      <w:proofErr w:type="gramEnd"/>
      <w:r w:rsidRPr="00294A07">
        <w:rPr>
          <w:rFonts w:cstheme="minorHAnsi"/>
          <w:b/>
          <w:bCs/>
          <w:color w:val="000000" w:themeColor="text1"/>
        </w:rPr>
        <w:t xml:space="preserve"> am Beispiel der Schweiz</w:t>
      </w:r>
    </w:p>
    <w:p w14:paraId="6D32008F" w14:textId="77777777" w:rsidR="006B0849" w:rsidRDefault="006B0849" w:rsidP="0046220B">
      <w:pPr>
        <w:spacing w:line="276" w:lineRule="auto"/>
        <w:jc w:val="both"/>
        <w:rPr>
          <w:rFonts w:cstheme="minorHAnsi"/>
          <w:b/>
          <w:bCs/>
          <w:color w:val="000000" w:themeColor="text1"/>
        </w:rPr>
      </w:pPr>
    </w:p>
    <w:p w14:paraId="17DC7605" w14:textId="1CAFC58F" w:rsidR="0046220B" w:rsidRPr="0046220B" w:rsidRDefault="0046220B" w:rsidP="0046220B">
      <w:pPr>
        <w:spacing w:line="276" w:lineRule="auto"/>
        <w:jc w:val="both"/>
        <w:rPr>
          <w:rFonts w:cstheme="minorHAnsi"/>
          <w:color w:val="000000" w:themeColor="text1"/>
        </w:rPr>
      </w:pPr>
      <w:r w:rsidRPr="0046220B">
        <w:rPr>
          <w:rFonts w:cstheme="minorHAnsi"/>
          <w:b/>
          <w:bCs/>
          <w:color w:val="000000" w:themeColor="text1"/>
        </w:rPr>
        <w:t>Dr. Simon Schädler</w:t>
      </w:r>
      <w:r w:rsidRPr="0046220B">
        <w:rPr>
          <w:rFonts w:cstheme="minorHAnsi"/>
          <w:color w:val="000000" w:themeColor="text1"/>
        </w:rPr>
        <w:t xml:space="preserve"> ist Rechtsanwalt und promovierte zum </w:t>
      </w:r>
      <w:r w:rsidRPr="0078638E">
        <w:rPr>
          <w:rFonts w:cstheme="minorHAnsi"/>
          <w:color w:val="000000" w:themeColor="text1"/>
        </w:rPr>
        <w:t>Schutz des religiösen Friedens als Staatsaufgabe</w:t>
      </w:r>
      <w:r w:rsidRPr="0046220B">
        <w:rPr>
          <w:rFonts w:cstheme="minorHAnsi"/>
          <w:color w:val="000000" w:themeColor="text1"/>
        </w:rPr>
        <w:t xml:space="preserve"> an der Universität Zürich mit längeren Forschungsaufenthalten in Berlin/Potsdam sowie Israel. Zu seinen inhaltlichen Schwerpunkten gehören Migrations- und Asylrecht, Völkerecht, Menschenrechtsschutz sowie das Recht der inneren Sicherheit. Er arbeitet als Experte für das </w:t>
      </w:r>
      <w:r w:rsidRPr="00AC1208">
        <w:rPr>
          <w:rFonts w:cstheme="minorHAnsi"/>
          <w:color w:val="000000" w:themeColor="text1"/>
        </w:rPr>
        <w:t>Eidgenössische Departement für auswärtige Angelegenheiten EDA</w:t>
      </w:r>
      <w:r w:rsidRPr="0046220B">
        <w:rPr>
          <w:rFonts w:cstheme="minorHAnsi"/>
          <w:color w:val="000000" w:themeColor="text1"/>
        </w:rPr>
        <w:t xml:space="preserve"> und äußert in diesem Beitrag seine persönliche Ansicht.</w:t>
      </w:r>
    </w:p>
    <w:p w14:paraId="78D309F0" w14:textId="5198DAB1" w:rsidR="0046220B" w:rsidRPr="0046220B" w:rsidRDefault="0046220B" w:rsidP="0046220B">
      <w:pPr>
        <w:spacing w:line="276" w:lineRule="auto"/>
        <w:jc w:val="both"/>
        <w:rPr>
          <w:rFonts w:cstheme="minorHAnsi"/>
          <w:color w:val="000000" w:themeColor="text1"/>
        </w:rPr>
      </w:pPr>
      <w:r w:rsidRPr="0046220B">
        <w:rPr>
          <w:rFonts w:cstheme="minorHAnsi"/>
          <w:b/>
          <w:bCs/>
          <w:color w:val="000000" w:themeColor="text1"/>
        </w:rPr>
        <w:t>Mira Schwarz</w:t>
      </w:r>
      <w:r w:rsidRPr="0046220B">
        <w:rPr>
          <w:rFonts w:cstheme="minorHAnsi"/>
          <w:color w:val="000000" w:themeColor="text1"/>
        </w:rPr>
        <w:t xml:space="preserve"> hat einen Masterabschluss in internationaler Sozialarbeit und promoviert zur Rolle der Frau im Salafismus an der Universität Erfurt. Sie hat Expertise in der Beratung und Projektleitung im Kontext Migration und Integration sowie in der politischen Bildungsarbeit in der Schweiz und in Deutschland.</w:t>
      </w:r>
    </w:p>
    <w:p w14:paraId="6C4E0CBE" w14:textId="68B7C965" w:rsidR="00E81F80" w:rsidRDefault="0046220B" w:rsidP="0046220B">
      <w:pPr>
        <w:spacing w:line="276" w:lineRule="auto"/>
        <w:jc w:val="both"/>
        <w:rPr>
          <w:rFonts w:cstheme="minorHAnsi"/>
        </w:rPr>
      </w:pPr>
      <w:r w:rsidRPr="0046220B">
        <w:rPr>
          <w:rFonts w:cstheme="minorHAnsi"/>
          <w:color w:val="000000" w:themeColor="text1"/>
        </w:rPr>
        <w:t xml:space="preserve">Die </w:t>
      </w:r>
      <w:proofErr w:type="gramStart"/>
      <w:r w:rsidRPr="0046220B">
        <w:rPr>
          <w:rFonts w:cstheme="minorHAnsi"/>
          <w:color w:val="000000" w:themeColor="text1"/>
        </w:rPr>
        <w:t>Autor</w:t>
      </w:r>
      <w:r w:rsidR="00D2698E">
        <w:rPr>
          <w:rFonts w:cstheme="minorHAnsi"/>
          <w:color w:val="000000" w:themeColor="text1"/>
        </w:rPr>
        <w:t>:innen</w:t>
      </w:r>
      <w:proofErr w:type="gramEnd"/>
      <w:r w:rsidRPr="0046220B">
        <w:rPr>
          <w:rFonts w:cstheme="minorHAnsi"/>
          <w:color w:val="000000" w:themeColor="text1"/>
        </w:rPr>
        <w:t xml:space="preserve"> k</w:t>
      </w:r>
      <w:r w:rsidR="0084484B">
        <w:rPr>
          <w:rFonts w:cstheme="minorHAnsi"/>
          <w:color w:val="000000" w:themeColor="text1"/>
        </w:rPr>
        <w:t>önnen</w:t>
      </w:r>
      <w:r w:rsidRPr="0046220B">
        <w:rPr>
          <w:rFonts w:cstheme="minorHAnsi"/>
          <w:color w:val="000000" w:themeColor="text1"/>
        </w:rPr>
        <w:t xml:space="preserve"> unter </w:t>
      </w:r>
      <w:hyperlink r:id="rId11" w:history="1">
        <w:r w:rsidR="001F1D86" w:rsidRPr="001F1D86">
          <w:rPr>
            <w:rStyle w:val="Hyperlink"/>
            <w:rFonts w:cstheme="minorHAnsi"/>
          </w:rPr>
          <w:t>Link</w:t>
        </w:r>
        <w:r w:rsidR="001F1D86" w:rsidRPr="001F1D86">
          <w:rPr>
            <w:rStyle w:val="Hyperlink"/>
          </w:rPr>
          <w:t xml:space="preserve"> öffnet E</w:t>
        </w:r>
        <w:r w:rsidR="00343771">
          <w:rPr>
            <w:rStyle w:val="Hyperlink"/>
          </w:rPr>
          <w:t>-M</w:t>
        </w:r>
        <w:r w:rsidR="001F1D86" w:rsidRPr="001F1D86">
          <w:rPr>
            <w:rStyle w:val="Hyperlink"/>
          </w:rPr>
          <w:t>ail an Mira Schwarz</w:t>
        </w:r>
      </w:hyperlink>
      <w:r w:rsidRPr="0046220B">
        <w:rPr>
          <w:rFonts w:cstheme="minorHAnsi"/>
        </w:rPr>
        <w:t xml:space="preserve"> kontaktiert werden. </w:t>
      </w:r>
    </w:p>
    <w:p w14:paraId="394F3BB6" w14:textId="77777777" w:rsidR="006B0849" w:rsidRPr="0046220B" w:rsidRDefault="006B0849" w:rsidP="0046220B">
      <w:pPr>
        <w:spacing w:line="276" w:lineRule="auto"/>
        <w:jc w:val="both"/>
        <w:rPr>
          <w:rFonts w:cstheme="minorHAnsi"/>
          <w:color w:val="000000" w:themeColor="text1"/>
        </w:rPr>
      </w:pPr>
    </w:p>
    <w:p w14:paraId="094BB888" w14:textId="77777777" w:rsidR="00E81F80" w:rsidRPr="0046220B" w:rsidRDefault="00E81F80">
      <w:pPr>
        <w:rPr>
          <w:rFonts w:cstheme="minorHAnsi"/>
          <w:b/>
        </w:rPr>
      </w:pPr>
      <w:r w:rsidRPr="0046220B">
        <w:rPr>
          <w:rFonts w:cstheme="minorHAnsi"/>
          <w:noProof/>
          <w:lang w:eastAsia="de-DE"/>
        </w:rPr>
        <mc:AlternateContent>
          <mc:Choice Requires="wps">
            <w:drawing>
              <wp:anchor distT="0" distB="0" distL="114300" distR="114300" simplePos="0" relativeHeight="251658244" behindDoc="0" locked="0" layoutInCell="1" allowOverlap="1" wp14:anchorId="06E5279D" wp14:editId="51F9EBBC">
                <wp:simplePos x="0" y="0"/>
                <wp:positionH relativeFrom="column">
                  <wp:posOffset>-113030</wp:posOffset>
                </wp:positionH>
                <wp:positionV relativeFrom="paragraph">
                  <wp:posOffset>258445</wp:posOffset>
                </wp:positionV>
                <wp:extent cx="6038850" cy="4802505"/>
                <wp:effectExtent l="0" t="0" r="0" b="0"/>
                <wp:wrapNone/>
                <wp:docPr id="7" name="Textfeld 7"/>
                <wp:cNvGraphicFramePr/>
                <a:graphic xmlns:a="http://schemas.openxmlformats.org/drawingml/2006/main">
                  <a:graphicData uri="http://schemas.microsoft.com/office/word/2010/wordprocessingShape">
                    <wps:wsp>
                      <wps:cNvSpPr txBox="1"/>
                      <wps:spPr>
                        <a:xfrm>
                          <a:off x="0" y="0"/>
                          <a:ext cx="6038850" cy="4802505"/>
                        </a:xfrm>
                        <a:prstGeom prst="rect">
                          <a:avLst/>
                        </a:prstGeom>
                        <a:noFill/>
                        <a:ln w="6350">
                          <a:noFill/>
                        </a:ln>
                      </wps:spPr>
                      <wps:txbx>
                        <w:txbxContent>
                          <w:p w14:paraId="331E9A3C" w14:textId="548BA456" w:rsidR="0046220B" w:rsidRPr="0046220B" w:rsidRDefault="0046220B" w:rsidP="0046220B">
                            <w:pPr>
                              <w:spacing w:line="276" w:lineRule="auto"/>
                              <w:jc w:val="both"/>
                              <w:rPr>
                                <w:rFonts w:eastAsia="Times New Roman" w:cstheme="minorHAnsi"/>
                                <w:color w:val="000000" w:themeColor="text1"/>
                                <w:szCs w:val="20"/>
                                <w:lang w:eastAsia="de-DE"/>
                              </w:rPr>
                            </w:pPr>
                            <w:r>
                              <w:rPr>
                                <w:rFonts w:cstheme="minorHAnsi"/>
                                <w:noProof/>
                                <w:color w:val="000000" w:themeColor="text1"/>
                              </w:rPr>
                              <w:t>D</w:t>
                            </w:r>
                            <w:r w:rsidRPr="0046220B">
                              <w:rPr>
                                <w:rFonts w:cstheme="minorHAnsi"/>
                                <w:noProof/>
                                <w:color w:val="000000" w:themeColor="text1"/>
                              </w:rPr>
                              <w:t>er vorliegende Beitrag widmet sich der Fragestellung</w:t>
                            </w:r>
                            <w:r w:rsidRPr="0046220B">
                              <w:rPr>
                                <w:rFonts w:eastAsia="Times New Roman" w:cstheme="minorHAnsi"/>
                                <w:color w:val="000000" w:themeColor="text1"/>
                                <w:szCs w:val="20"/>
                                <w:lang w:eastAsia="de-DE"/>
                              </w:rPr>
                              <w:t xml:space="preserve">, ob und in welcher Ausgestaltung der Entzug der Staatsbürgerschaft aus juristischer und sozialwissenschaftlicher Perspektive </w:t>
                            </w:r>
                            <w:r w:rsidRPr="0046220B">
                              <w:rPr>
                                <w:rFonts w:cstheme="minorHAnsi"/>
                                <w:color w:val="000000" w:themeColor="text1"/>
                                <w:szCs w:val="20"/>
                              </w:rPr>
                              <w:t>als staatliches Instrument zur Radikalisierungsprävention Anwendung finden soll</w:t>
                            </w:r>
                            <w:r w:rsidRPr="0046220B">
                              <w:rPr>
                                <w:rFonts w:eastAsia="Times New Roman" w:cstheme="minorHAnsi"/>
                                <w:color w:val="000000" w:themeColor="text1"/>
                                <w:szCs w:val="20"/>
                                <w:lang w:eastAsia="de-DE"/>
                              </w:rPr>
                              <w:t xml:space="preserve">. Durch die Verschränkung der beiden Professionen </w:t>
                            </w:r>
                            <w:r w:rsidR="00981950">
                              <w:rPr>
                                <w:rFonts w:eastAsia="Times New Roman" w:cstheme="minorHAnsi"/>
                                <w:color w:val="000000" w:themeColor="text1"/>
                                <w:szCs w:val="20"/>
                                <w:lang w:eastAsia="de-DE"/>
                              </w:rPr>
                              <w:t>resultiert</w:t>
                            </w:r>
                            <w:r w:rsidRPr="0046220B">
                              <w:rPr>
                                <w:rFonts w:eastAsia="Times New Roman" w:cstheme="minorHAnsi"/>
                                <w:color w:val="000000" w:themeColor="text1"/>
                                <w:szCs w:val="20"/>
                                <w:lang w:eastAsia="de-DE"/>
                              </w:rPr>
                              <w:t xml:space="preserve"> eine interdisziplinäre und damit umfassende Herangehensweise an die Thematik. So steht nicht nur die juristische Zulässigkeit des Bürgerrechtsentzugs zur Diskussion, sondern insbesondere dessen Analyse im Kontext der präventionspraktischen Grundsätze. Ein Fallbeispiel aus der Schweiz bildet die Ausgangslage, begleitet die wissenschaftliche Auseinandersetzung und verdeutlicht den Praxisbezug. Der vorliegende Beitrag charakterisiert den Bürgerrechtsentzug in einem ersten Schritt </w:t>
                            </w:r>
                            <w:r w:rsidRPr="0046220B">
                              <w:rPr>
                                <w:rFonts w:cstheme="minorHAnsi"/>
                                <w:color w:val="000000" w:themeColor="text1"/>
                                <w:szCs w:val="20"/>
                              </w:rPr>
                              <w:t xml:space="preserve">aus </w:t>
                            </w:r>
                            <w:r w:rsidRPr="0046220B">
                              <w:rPr>
                                <w:rFonts w:cstheme="minorHAnsi"/>
                                <w:i/>
                                <w:iCs/>
                                <w:color w:val="000000" w:themeColor="text1"/>
                                <w:szCs w:val="20"/>
                              </w:rPr>
                              <w:t>juristischer Warte</w:t>
                            </w:r>
                            <w:r w:rsidRPr="0046220B">
                              <w:rPr>
                                <w:rFonts w:cstheme="minorHAnsi"/>
                                <w:color w:val="000000" w:themeColor="text1"/>
                                <w:szCs w:val="20"/>
                              </w:rPr>
                              <w:t xml:space="preserve"> kritisch und kommt zum Schluss, dass er unter engen Voraussetzungen Anwendung finden kann. Dass er dabei in einem steten Spannungsfeld zu grund- und menschenrechtlichen Garantien sowie völkerrechtlicher Normsysteme steht, wird aufgezeigt und anhand konkreter Beispiele beleuchtet. Dabei sind insbesondere Fragen des Grund- und Menschenrechtsschutzes, der Verhältnismäßigkeit sowie der Zwecktauglichkeit von Ausbürgerungen von Bedeutung. </w:t>
                            </w:r>
                            <w:r w:rsidRPr="0046220B">
                              <w:rPr>
                                <w:rFonts w:eastAsia="Times New Roman" w:cstheme="minorHAnsi"/>
                                <w:color w:val="000000" w:themeColor="text1"/>
                                <w:szCs w:val="20"/>
                                <w:lang w:eastAsia="de-DE"/>
                              </w:rPr>
                              <w:t xml:space="preserve">Aus der </w:t>
                            </w:r>
                            <w:r w:rsidRPr="0046220B">
                              <w:rPr>
                                <w:rFonts w:eastAsia="Times New Roman" w:cstheme="minorHAnsi"/>
                                <w:i/>
                                <w:iCs/>
                                <w:color w:val="000000" w:themeColor="text1"/>
                                <w:szCs w:val="20"/>
                                <w:lang w:eastAsia="de-DE"/>
                              </w:rPr>
                              <w:t>Perspektive der Sozialwissenschaften</w:t>
                            </w:r>
                            <w:r w:rsidRPr="0046220B">
                              <w:rPr>
                                <w:rFonts w:eastAsia="Times New Roman" w:cstheme="minorHAnsi"/>
                                <w:color w:val="000000" w:themeColor="text1"/>
                                <w:szCs w:val="20"/>
                                <w:lang w:eastAsia="de-DE"/>
                              </w:rPr>
                              <w:t xml:space="preserve"> liegt ein gewichtiger Fokus auf der Tertiärprävention. Dabei wird deutlich erkennbar, dass der Bürgerrechtsentzug keine geeignete Maßnahme der Präventionsarbeit ist. Einerseits ist er nicht mit präventionsspezifischen Grundsätzen vereinbar. Andererseits verfehlt er die </w:t>
                            </w:r>
                            <w:r w:rsidR="00981950">
                              <w:rPr>
                                <w:rFonts w:eastAsia="Times New Roman" w:cstheme="minorHAnsi"/>
                                <w:color w:val="000000" w:themeColor="text1"/>
                                <w:szCs w:val="20"/>
                                <w:lang w:eastAsia="de-DE"/>
                              </w:rPr>
                              <w:t xml:space="preserve">Ziele </w:t>
                            </w:r>
                            <w:r w:rsidRPr="0046220B">
                              <w:rPr>
                                <w:rFonts w:eastAsia="Times New Roman" w:cstheme="minorHAnsi"/>
                                <w:color w:val="000000" w:themeColor="text1"/>
                                <w:szCs w:val="20"/>
                                <w:lang w:eastAsia="de-DE"/>
                              </w:rPr>
                              <w:t>der Präventionsarbeit</w:t>
                            </w:r>
                            <w:r w:rsidR="00981950">
                              <w:rPr>
                                <w:rFonts w:eastAsia="Times New Roman" w:cstheme="minorHAnsi"/>
                                <w:color w:val="000000" w:themeColor="text1"/>
                                <w:szCs w:val="20"/>
                                <w:lang w:eastAsia="de-DE"/>
                              </w:rPr>
                              <w:t xml:space="preserve"> </w:t>
                            </w:r>
                            <w:r w:rsidRPr="0046220B">
                              <w:rPr>
                                <w:rFonts w:eastAsia="Times New Roman" w:cstheme="minorHAnsi"/>
                                <w:color w:val="000000" w:themeColor="text1"/>
                                <w:szCs w:val="20"/>
                                <w:lang w:eastAsia="de-DE"/>
                              </w:rPr>
                              <w:t xml:space="preserve">– namentlich die Auseinandersetzung und Distanzierung von der Ideologie sowie </w:t>
                            </w:r>
                            <w:r w:rsidR="00201A3F" w:rsidRPr="0046220B">
                              <w:rPr>
                                <w:rFonts w:eastAsia="Times New Roman" w:cstheme="minorHAnsi"/>
                                <w:color w:val="000000" w:themeColor="text1"/>
                                <w:szCs w:val="20"/>
                                <w:lang w:eastAsia="de-DE"/>
                              </w:rPr>
                              <w:t>de</w:t>
                            </w:r>
                            <w:r w:rsidR="00201A3F">
                              <w:rPr>
                                <w:rFonts w:eastAsia="Times New Roman" w:cstheme="minorHAnsi"/>
                                <w:color w:val="000000" w:themeColor="text1"/>
                                <w:szCs w:val="20"/>
                                <w:lang w:eastAsia="de-DE"/>
                              </w:rPr>
                              <w:t>n</w:t>
                            </w:r>
                            <w:r w:rsidR="00201A3F" w:rsidRPr="0046220B">
                              <w:rPr>
                                <w:rFonts w:eastAsia="Times New Roman" w:cstheme="minorHAnsi"/>
                                <w:color w:val="000000" w:themeColor="text1"/>
                                <w:szCs w:val="20"/>
                                <w:lang w:eastAsia="de-DE"/>
                              </w:rPr>
                              <w:t xml:space="preserve"> </w:t>
                            </w:r>
                            <w:r w:rsidRPr="0046220B">
                              <w:rPr>
                                <w:rFonts w:eastAsia="Times New Roman" w:cstheme="minorHAnsi"/>
                                <w:color w:val="000000" w:themeColor="text1"/>
                                <w:szCs w:val="20"/>
                                <w:lang w:eastAsia="de-DE"/>
                              </w:rPr>
                              <w:t xml:space="preserve">Aufbau alternativer Lebensinhalte. Eine Gemeinsamkeit der juristischen als auch der sozialwissenschaftlichen Betrachtung ist die Ungleichbehandlung der involvierten Betroffenen und die daraus resultierende (erlebte) Diskriminierung. Da ein Bürgerrechtsentzug lediglich auf eine kleine Zielgruppe Anwendung finden kann, führt er zu einer Stigmatisierung mit der Konsequenz, dass das fehlende Zugehörigkeitsgefühl zur Mehrheitsgesellschaft bestärkt und der Radikalisierungsverlauf begünstigt werden kann. </w:t>
                            </w:r>
                          </w:p>
                          <w:p w14:paraId="396893A9" w14:textId="1250717E" w:rsidR="00E81F80" w:rsidRDefault="00E81F80">
                            <w:pPr>
                              <w:rPr>
                                <w:rFonts w:cstheme="minorHAnsi"/>
                              </w:rPr>
                            </w:pPr>
                          </w:p>
                          <w:p w14:paraId="75662207" w14:textId="77777777" w:rsidR="00012A9B" w:rsidRPr="0046220B" w:rsidRDefault="00012A9B">
                            <w:pPr>
                              <w:rPr>
                                <w:rFonts w:cstheme="minorHAns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E5279D" id="_x0000_t202" coordsize="21600,21600" o:spt="202" path="m,l,21600r21600,l21600,xe">
                <v:stroke joinstyle="miter"/>
                <v:path gradientshapeok="t" o:connecttype="rect"/>
              </v:shapetype>
              <v:shape id="Textfeld 7" o:spid="_x0000_s1026" type="#_x0000_t202" style="position:absolute;margin-left:-8.9pt;margin-top:20.35pt;width:475.5pt;height:378.1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iP0FgIAAC0EAAAOAAAAZHJzL2Uyb0RvYy54bWysU8tu2zAQvBfoPxC815IdO3UMy4GbwEUB&#10;IwngFDnTFGkJILksSVtyv75LSn407anohdrlrPYxO5zft1qRg3C+BlPQ4SCnRBgOZW12Bf3+uvo0&#10;pcQHZkqmwIiCHoWn94uPH+aNnYkRVKBK4QgmMX7W2IJWIdhZlnleCc38AKwwCEpwmgV03S4rHWsw&#10;u1bZKM9vswZcaR1w4T3ePnYgXaT8UgoenqX0IhBVUOwtpNOlcxvPbDFns51jtqp53wb7hy40qw0W&#10;Pad6ZIGRvav/SKVr7sCDDAMOOgMpay7SDDjNMH83zaZiVqRZkBxvzzT5/5eWPx029sWR0H6BFhcY&#10;CWmsn3m8jPO00un4xU4J4kjh8UybaAPheHmb30ynE4Q4YuNpPprkk5gnu/xunQ9fBWgSjYI63Eui&#10;ix3WPnShp5BYzcCqVirtRhnSYIkbzP8bgsmVwRqXZqMV2m3bT7CF8oiDOeh27i1f1Vh8zXx4YQ6X&#10;jA2jcMMzHlIBFoHeoqQC9/Nv9zEeuUeUkgZFU1D/Y8+coER9M7iVu+F4HFWWnPHk8wgdd41srxGz&#10;1w+AuhziE7E8mTE+qJMpHeg31PcyVkWIGY61CxpO5kPopIzvg4vlMgWhriwLa7OxPKaOpEVqX9s3&#10;5mzPf8DVPcFJXmz2bg1dbEf3ch9A1mlHkeCO1Z531GTacv9+ouiv/RR1eeWLXwAAAP//AwBQSwME&#10;FAAGAAgAAAAhAMTCM77iAAAACgEAAA8AAABkcnMvZG93bnJldi54bWxMj09PwkAUxO8mfofNI/EG&#10;uxS1UPtKSBNiYvQAcvH22l3ahv1TuwtUP73rSY+Tmcz8Jl+PRrOLGnznLMJ8JoApWzvZ2Qbh8L6d&#10;LoH5QFaSdlYhfCkP6+L2JqdMuqvdqcs+NCyWWJ8RQhtCn3Hu61YZ8jPXKxu9oxsMhSiHhsuBrrHc&#10;aJ4I8cgNdTYutNSrslX1aX82CC/l9o12VWKW37p8fj1u+s/DxwPi3WTcPAELagx/YfjFj+hQRKbK&#10;na30TCNM52lEDwj3IgUWA6vFIgFWIaSrVAAvcv7/QvEDAAD//wMAUEsBAi0AFAAGAAgAAAAhALaD&#10;OJL+AAAA4QEAABMAAAAAAAAAAAAAAAAAAAAAAFtDb250ZW50X1R5cGVzXS54bWxQSwECLQAUAAYA&#10;CAAAACEAOP0h/9YAAACUAQAACwAAAAAAAAAAAAAAAAAvAQAAX3JlbHMvLnJlbHNQSwECLQAUAAYA&#10;CAAAACEAzUYj9BYCAAAtBAAADgAAAAAAAAAAAAAAAAAuAgAAZHJzL2Uyb0RvYy54bWxQSwECLQAU&#10;AAYACAAAACEAxMIzvuIAAAAKAQAADwAAAAAAAAAAAAAAAABwBAAAZHJzL2Rvd25yZXYueG1sUEsF&#10;BgAAAAAEAAQA8wAAAH8FAAAAAA==&#10;" filled="f" stroked="f" strokeweight=".5pt">
                <v:textbox>
                  <w:txbxContent>
                    <w:p w14:paraId="331E9A3C" w14:textId="548BA456" w:rsidR="0046220B" w:rsidRPr="0046220B" w:rsidRDefault="0046220B" w:rsidP="0046220B">
                      <w:pPr>
                        <w:spacing w:line="276" w:lineRule="auto"/>
                        <w:jc w:val="both"/>
                        <w:rPr>
                          <w:rFonts w:eastAsia="Times New Roman" w:cstheme="minorHAnsi"/>
                          <w:color w:val="000000" w:themeColor="text1"/>
                          <w:szCs w:val="20"/>
                          <w:lang w:eastAsia="de-DE"/>
                        </w:rPr>
                      </w:pPr>
                      <w:r>
                        <w:rPr>
                          <w:rFonts w:cstheme="minorHAnsi"/>
                          <w:noProof/>
                          <w:color w:val="000000" w:themeColor="text1"/>
                        </w:rPr>
                        <w:t>D</w:t>
                      </w:r>
                      <w:r w:rsidRPr="0046220B">
                        <w:rPr>
                          <w:rFonts w:cstheme="minorHAnsi"/>
                          <w:noProof/>
                          <w:color w:val="000000" w:themeColor="text1"/>
                        </w:rPr>
                        <w:t>er vorliegende Beitrag widmet sich der Fragestellung</w:t>
                      </w:r>
                      <w:r w:rsidRPr="0046220B">
                        <w:rPr>
                          <w:rFonts w:eastAsia="Times New Roman" w:cstheme="minorHAnsi"/>
                          <w:color w:val="000000" w:themeColor="text1"/>
                          <w:szCs w:val="20"/>
                          <w:lang w:eastAsia="de-DE"/>
                        </w:rPr>
                        <w:t xml:space="preserve">, ob und in welcher Ausgestaltung der Entzug der Staatsbürgerschaft aus juristischer und sozialwissenschaftlicher Perspektive </w:t>
                      </w:r>
                      <w:r w:rsidRPr="0046220B">
                        <w:rPr>
                          <w:rFonts w:cstheme="minorHAnsi"/>
                          <w:color w:val="000000" w:themeColor="text1"/>
                          <w:szCs w:val="20"/>
                        </w:rPr>
                        <w:t>als staatliches Instrument zur Radikalisierungsprävention Anwendung finden soll</w:t>
                      </w:r>
                      <w:r w:rsidRPr="0046220B">
                        <w:rPr>
                          <w:rFonts w:eastAsia="Times New Roman" w:cstheme="minorHAnsi"/>
                          <w:color w:val="000000" w:themeColor="text1"/>
                          <w:szCs w:val="20"/>
                          <w:lang w:eastAsia="de-DE"/>
                        </w:rPr>
                        <w:t xml:space="preserve">. Durch die Verschränkung der beiden Professionen </w:t>
                      </w:r>
                      <w:r w:rsidR="00981950">
                        <w:rPr>
                          <w:rFonts w:eastAsia="Times New Roman" w:cstheme="minorHAnsi"/>
                          <w:color w:val="000000" w:themeColor="text1"/>
                          <w:szCs w:val="20"/>
                          <w:lang w:eastAsia="de-DE"/>
                        </w:rPr>
                        <w:t>resultiert</w:t>
                      </w:r>
                      <w:r w:rsidRPr="0046220B">
                        <w:rPr>
                          <w:rFonts w:eastAsia="Times New Roman" w:cstheme="minorHAnsi"/>
                          <w:color w:val="000000" w:themeColor="text1"/>
                          <w:szCs w:val="20"/>
                          <w:lang w:eastAsia="de-DE"/>
                        </w:rPr>
                        <w:t xml:space="preserve"> eine interdisziplinäre und damit umfassende Herangehensweise an die Thematik. So steht nicht nur die juristische Zulässigkeit des Bürgerrechtsentzugs zur Diskussion, sondern insbesondere dessen Analyse im Kontext der präventionspraktischen Grundsätze. Ein Fallbeispiel aus der Schweiz bildet die Ausgangslage, begleitet die wissenschaftliche Auseinandersetzung und verdeutlicht den Praxisbezug. Der vorliegende Beitrag charakterisiert den Bürgerrechtsentzug in einem ersten Schritt </w:t>
                      </w:r>
                      <w:r w:rsidRPr="0046220B">
                        <w:rPr>
                          <w:rFonts w:cstheme="minorHAnsi"/>
                          <w:color w:val="000000" w:themeColor="text1"/>
                          <w:szCs w:val="20"/>
                        </w:rPr>
                        <w:t xml:space="preserve">aus </w:t>
                      </w:r>
                      <w:r w:rsidRPr="0046220B">
                        <w:rPr>
                          <w:rFonts w:cstheme="minorHAnsi"/>
                          <w:i/>
                          <w:iCs/>
                          <w:color w:val="000000" w:themeColor="text1"/>
                          <w:szCs w:val="20"/>
                        </w:rPr>
                        <w:t>juristischer Warte</w:t>
                      </w:r>
                      <w:r w:rsidRPr="0046220B">
                        <w:rPr>
                          <w:rFonts w:cstheme="minorHAnsi"/>
                          <w:color w:val="000000" w:themeColor="text1"/>
                          <w:szCs w:val="20"/>
                        </w:rPr>
                        <w:t xml:space="preserve"> kritisch und kommt zum Schluss, dass er unter engen Voraussetzungen Anwendung finden kann. Dass er dabei in einem steten Spannungsfeld zu grund- und menschenrechtlichen Garantien sowie völkerrechtlicher Normsysteme steht, wird aufgezeigt und anhand konkreter Beispiele beleuchtet. Dabei sind insbesondere Fragen des Grund- und Menschenrechtsschutzes, der Verhältnismäßigkeit sowie der Zwecktauglichkeit von Ausbürgerungen von Bedeutung. </w:t>
                      </w:r>
                      <w:r w:rsidRPr="0046220B">
                        <w:rPr>
                          <w:rFonts w:eastAsia="Times New Roman" w:cstheme="minorHAnsi"/>
                          <w:color w:val="000000" w:themeColor="text1"/>
                          <w:szCs w:val="20"/>
                          <w:lang w:eastAsia="de-DE"/>
                        </w:rPr>
                        <w:t xml:space="preserve">Aus der </w:t>
                      </w:r>
                      <w:r w:rsidRPr="0046220B">
                        <w:rPr>
                          <w:rFonts w:eastAsia="Times New Roman" w:cstheme="minorHAnsi"/>
                          <w:i/>
                          <w:iCs/>
                          <w:color w:val="000000" w:themeColor="text1"/>
                          <w:szCs w:val="20"/>
                          <w:lang w:eastAsia="de-DE"/>
                        </w:rPr>
                        <w:t>Perspektive der Sozialwissenschaften</w:t>
                      </w:r>
                      <w:r w:rsidRPr="0046220B">
                        <w:rPr>
                          <w:rFonts w:eastAsia="Times New Roman" w:cstheme="minorHAnsi"/>
                          <w:color w:val="000000" w:themeColor="text1"/>
                          <w:szCs w:val="20"/>
                          <w:lang w:eastAsia="de-DE"/>
                        </w:rPr>
                        <w:t xml:space="preserve"> liegt ein gewichtiger Fokus auf der Tertiärprävention. Dabei wird deutlich erkennbar, dass der Bürgerrechtsentzug keine geeignete Maßnahme der Präventionsarbeit ist. Einerseits ist er nicht mit präventionsspezifischen Grundsätzen vereinbar. Andererseits verfehlt er die </w:t>
                      </w:r>
                      <w:r w:rsidR="00981950">
                        <w:rPr>
                          <w:rFonts w:eastAsia="Times New Roman" w:cstheme="minorHAnsi"/>
                          <w:color w:val="000000" w:themeColor="text1"/>
                          <w:szCs w:val="20"/>
                          <w:lang w:eastAsia="de-DE"/>
                        </w:rPr>
                        <w:t xml:space="preserve">Ziele </w:t>
                      </w:r>
                      <w:r w:rsidRPr="0046220B">
                        <w:rPr>
                          <w:rFonts w:eastAsia="Times New Roman" w:cstheme="minorHAnsi"/>
                          <w:color w:val="000000" w:themeColor="text1"/>
                          <w:szCs w:val="20"/>
                          <w:lang w:eastAsia="de-DE"/>
                        </w:rPr>
                        <w:t>der Präventionsarbeit</w:t>
                      </w:r>
                      <w:r w:rsidR="00981950">
                        <w:rPr>
                          <w:rFonts w:eastAsia="Times New Roman" w:cstheme="minorHAnsi"/>
                          <w:color w:val="000000" w:themeColor="text1"/>
                          <w:szCs w:val="20"/>
                          <w:lang w:eastAsia="de-DE"/>
                        </w:rPr>
                        <w:t xml:space="preserve"> </w:t>
                      </w:r>
                      <w:r w:rsidRPr="0046220B">
                        <w:rPr>
                          <w:rFonts w:eastAsia="Times New Roman" w:cstheme="minorHAnsi"/>
                          <w:color w:val="000000" w:themeColor="text1"/>
                          <w:szCs w:val="20"/>
                          <w:lang w:eastAsia="de-DE"/>
                        </w:rPr>
                        <w:t xml:space="preserve">– namentlich die Auseinandersetzung und Distanzierung von der Ideologie sowie </w:t>
                      </w:r>
                      <w:r w:rsidR="00201A3F" w:rsidRPr="0046220B">
                        <w:rPr>
                          <w:rFonts w:eastAsia="Times New Roman" w:cstheme="minorHAnsi"/>
                          <w:color w:val="000000" w:themeColor="text1"/>
                          <w:szCs w:val="20"/>
                          <w:lang w:eastAsia="de-DE"/>
                        </w:rPr>
                        <w:t>de</w:t>
                      </w:r>
                      <w:r w:rsidR="00201A3F">
                        <w:rPr>
                          <w:rFonts w:eastAsia="Times New Roman" w:cstheme="minorHAnsi"/>
                          <w:color w:val="000000" w:themeColor="text1"/>
                          <w:szCs w:val="20"/>
                          <w:lang w:eastAsia="de-DE"/>
                        </w:rPr>
                        <w:t>n</w:t>
                      </w:r>
                      <w:r w:rsidR="00201A3F" w:rsidRPr="0046220B">
                        <w:rPr>
                          <w:rFonts w:eastAsia="Times New Roman" w:cstheme="minorHAnsi"/>
                          <w:color w:val="000000" w:themeColor="text1"/>
                          <w:szCs w:val="20"/>
                          <w:lang w:eastAsia="de-DE"/>
                        </w:rPr>
                        <w:t xml:space="preserve"> </w:t>
                      </w:r>
                      <w:r w:rsidRPr="0046220B">
                        <w:rPr>
                          <w:rFonts w:eastAsia="Times New Roman" w:cstheme="minorHAnsi"/>
                          <w:color w:val="000000" w:themeColor="text1"/>
                          <w:szCs w:val="20"/>
                          <w:lang w:eastAsia="de-DE"/>
                        </w:rPr>
                        <w:t xml:space="preserve">Aufbau alternativer Lebensinhalte. Eine Gemeinsamkeit der juristischen als auch der sozialwissenschaftlichen Betrachtung ist die Ungleichbehandlung der involvierten Betroffenen und die daraus resultierende (erlebte) Diskriminierung. Da ein Bürgerrechtsentzug lediglich auf eine kleine Zielgruppe Anwendung finden kann, führt er zu einer Stigmatisierung mit der Konsequenz, dass das fehlende Zugehörigkeitsgefühl zur Mehrheitsgesellschaft bestärkt und der Radikalisierungsverlauf begünstigt werden kann. </w:t>
                      </w:r>
                    </w:p>
                    <w:p w14:paraId="396893A9" w14:textId="1250717E" w:rsidR="00E81F80" w:rsidRDefault="00E81F80">
                      <w:pPr>
                        <w:rPr>
                          <w:rFonts w:cstheme="minorHAnsi"/>
                        </w:rPr>
                      </w:pPr>
                    </w:p>
                    <w:p w14:paraId="75662207" w14:textId="77777777" w:rsidR="00012A9B" w:rsidRPr="0046220B" w:rsidRDefault="00012A9B">
                      <w:pPr>
                        <w:rPr>
                          <w:rFonts w:cstheme="minorHAnsi"/>
                        </w:rPr>
                      </w:pPr>
                    </w:p>
                  </w:txbxContent>
                </v:textbox>
              </v:shape>
            </w:pict>
          </mc:Fallback>
        </mc:AlternateContent>
      </w:r>
      <w:r w:rsidR="007E3CF3" w:rsidRPr="0046220B">
        <w:rPr>
          <w:rFonts w:cstheme="minorHAnsi"/>
          <w:b/>
        </w:rPr>
        <w:t>Ab</w:t>
      </w:r>
      <w:r w:rsidRPr="0046220B">
        <w:rPr>
          <w:rFonts w:cstheme="minorHAnsi"/>
          <w:b/>
        </w:rPr>
        <w:t>stract</w:t>
      </w:r>
    </w:p>
    <w:p w14:paraId="38F2F546" w14:textId="77777777" w:rsidR="00E81F80" w:rsidRPr="0046220B" w:rsidRDefault="00E81F80">
      <w:pPr>
        <w:rPr>
          <w:rFonts w:cstheme="minorHAnsi"/>
        </w:rPr>
      </w:pPr>
    </w:p>
    <w:p w14:paraId="5BB85D4A" w14:textId="77777777" w:rsidR="00E81F80" w:rsidRPr="0046220B" w:rsidRDefault="00E81F80">
      <w:pPr>
        <w:rPr>
          <w:rFonts w:cstheme="minorHAnsi"/>
        </w:rPr>
      </w:pPr>
    </w:p>
    <w:p w14:paraId="4ADFB813" w14:textId="77777777" w:rsidR="00E81F80" w:rsidRPr="0046220B" w:rsidRDefault="00E81F80">
      <w:pPr>
        <w:rPr>
          <w:rFonts w:cstheme="minorHAnsi"/>
        </w:rPr>
      </w:pPr>
    </w:p>
    <w:p w14:paraId="03A582BA" w14:textId="77777777" w:rsidR="00E81F80" w:rsidRPr="0046220B" w:rsidRDefault="00E81F80">
      <w:pPr>
        <w:rPr>
          <w:rFonts w:cstheme="minorHAnsi"/>
        </w:rPr>
      </w:pPr>
    </w:p>
    <w:p w14:paraId="7F94DA88" w14:textId="77777777" w:rsidR="00E81F80" w:rsidRPr="0046220B" w:rsidRDefault="00E81F80">
      <w:pPr>
        <w:rPr>
          <w:rFonts w:cstheme="minorHAnsi"/>
        </w:rPr>
      </w:pPr>
    </w:p>
    <w:p w14:paraId="0C907FC2" w14:textId="77777777" w:rsidR="00E81F80" w:rsidRPr="0046220B" w:rsidRDefault="00E81F80">
      <w:pPr>
        <w:rPr>
          <w:rFonts w:cstheme="minorHAnsi"/>
        </w:rPr>
      </w:pPr>
    </w:p>
    <w:p w14:paraId="1E81DBC4" w14:textId="77777777" w:rsidR="00E81F80" w:rsidRPr="0046220B" w:rsidRDefault="00E81F80">
      <w:pPr>
        <w:rPr>
          <w:rFonts w:cstheme="minorHAnsi"/>
        </w:rPr>
      </w:pPr>
    </w:p>
    <w:p w14:paraId="76D8C112" w14:textId="77777777" w:rsidR="00E81F80" w:rsidRPr="0046220B" w:rsidRDefault="00E81F80">
      <w:pPr>
        <w:rPr>
          <w:rFonts w:cstheme="minorHAnsi"/>
        </w:rPr>
      </w:pPr>
    </w:p>
    <w:p w14:paraId="7473CBB1" w14:textId="77777777" w:rsidR="00E81F80" w:rsidRPr="0046220B" w:rsidRDefault="00E81F80">
      <w:pPr>
        <w:rPr>
          <w:rFonts w:cstheme="minorHAnsi"/>
        </w:rPr>
      </w:pPr>
    </w:p>
    <w:p w14:paraId="195A44C2" w14:textId="77777777" w:rsidR="00E81F80" w:rsidRPr="0046220B" w:rsidRDefault="00E81F80">
      <w:pPr>
        <w:rPr>
          <w:rFonts w:cstheme="minorHAnsi"/>
        </w:rPr>
      </w:pPr>
    </w:p>
    <w:p w14:paraId="370C78E7" w14:textId="77777777" w:rsidR="00E81F80" w:rsidRPr="0046220B" w:rsidRDefault="00E81F80">
      <w:pPr>
        <w:rPr>
          <w:rFonts w:cstheme="minorHAnsi"/>
        </w:rPr>
      </w:pPr>
    </w:p>
    <w:p w14:paraId="7487191F" w14:textId="77777777" w:rsidR="00E81F80" w:rsidRPr="0046220B" w:rsidRDefault="00E81F80">
      <w:pPr>
        <w:rPr>
          <w:rFonts w:cstheme="minorHAnsi"/>
        </w:rPr>
      </w:pPr>
    </w:p>
    <w:p w14:paraId="761E839C" w14:textId="77777777" w:rsidR="0046220B" w:rsidRPr="0046220B" w:rsidRDefault="0046220B">
      <w:pPr>
        <w:rPr>
          <w:rFonts w:cstheme="minorHAnsi"/>
        </w:rPr>
      </w:pPr>
    </w:p>
    <w:p w14:paraId="602014CF" w14:textId="77777777" w:rsidR="0046220B" w:rsidRPr="0046220B" w:rsidRDefault="0046220B">
      <w:pPr>
        <w:rPr>
          <w:rFonts w:cstheme="minorHAnsi"/>
        </w:rPr>
      </w:pPr>
    </w:p>
    <w:p w14:paraId="138D0B78" w14:textId="77777777" w:rsidR="0046220B" w:rsidRPr="0046220B" w:rsidRDefault="0046220B">
      <w:pPr>
        <w:rPr>
          <w:rFonts w:cstheme="minorHAnsi"/>
        </w:rPr>
      </w:pPr>
    </w:p>
    <w:p w14:paraId="333C9803" w14:textId="77777777" w:rsidR="0046220B" w:rsidRPr="0046220B" w:rsidRDefault="0046220B">
      <w:pPr>
        <w:rPr>
          <w:rFonts w:cstheme="minorHAnsi"/>
        </w:rPr>
      </w:pPr>
    </w:p>
    <w:p w14:paraId="48070566" w14:textId="77777777" w:rsidR="0046220B" w:rsidRPr="0046220B" w:rsidRDefault="0046220B">
      <w:pPr>
        <w:rPr>
          <w:rFonts w:cstheme="minorHAnsi"/>
        </w:rPr>
      </w:pPr>
    </w:p>
    <w:p w14:paraId="32802F12" w14:textId="77777777" w:rsidR="005F4735" w:rsidRDefault="005F4735">
      <w:pPr>
        <w:rPr>
          <w:rFonts w:cstheme="minorHAnsi"/>
        </w:rPr>
      </w:pPr>
    </w:p>
    <w:p w14:paraId="4935978C" w14:textId="15928EE2" w:rsidR="0046220B" w:rsidRPr="0046220B" w:rsidRDefault="00012A9B">
      <w:pPr>
        <w:rPr>
          <w:rFonts w:cstheme="minorHAnsi"/>
        </w:rPr>
      </w:pPr>
      <w:r w:rsidRPr="0046220B">
        <w:rPr>
          <w:rFonts w:cstheme="minorHAnsi"/>
          <w:noProof/>
          <w:lang w:eastAsia="de-DE"/>
        </w:rPr>
        <mc:AlternateContent>
          <mc:Choice Requires="wps">
            <w:drawing>
              <wp:anchor distT="0" distB="0" distL="114300" distR="114300" simplePos="0" relativeHeight="251658245" behindDoc="0" locked="0" layoutInCell="1" allowOverlap="1" wp14:anchorId="5D2ED171" wp14:editId="3D6C8BDB">
                <wp:simplePos x="0" y="0"/>
                <wp:positionH relativeFrom="margin">
                  <wp:align>left</wp:align>
                </wp:positionH>
                <wp:positionV relativeFrom="paragraph">
                  <wp:posOffset>3175</wp:posOffset>
                </wp:positionV>
                <wp:extent cx="6038850" cy="1470991"/>
                <wp:effectExtent l="0" t="0" r="0" b="0"/>
                <wp:wrapNone/>
                <wp:docPr id="1538943926" name="Textfeld 1538943926"/>
                <wp:cNvGraphicFramePr/>
                <a:graphic xmlns:a="http://schemas.openxmlformats.org/drawingml/2006/main">
                  <a:graphicData uri="http://schemas.microsoft.com/office/word/2010/wordprocessingShape">
                    <wps:wsp>
                      <wps:cNvSpPr txBox="1"/>
                      <wps:spPr>
                        <a:xfrm>
                          <a:off x="0" y="0"/>
                          <a:ext cx="6038850" cy="1470991"/>
                        </a:xfrm>
                        <a:prstGeom prst="rect">
                          <a:avLst/>
                        </a:prstGeom>
                        <a:noFill/>
                        <a:ln w="6350">
                          <a:noFill/>
                        </a:ln>
                      </wps:spPr>
                      <wps:txbx>
                        <w:txbxContent>
                          <w:p w14:paraId="79FB4DB8" w14:textId="0E2D6410" w:rsidR="00012A9B" w:rsidRPr="0046220B" w:rsidRDefault="00012A9B" w:rsidP="00012A9B">
                            <w:pPr>
                              <w:spacing w:line="276" w:lineRule="auto"/>
                              <w:jc w:val="both"/>
                              <w:rPr>
                                <w:rFonts w:eastAsia="Times New Roman" w:cstheme="minorHAnsi"/>
                                <w:color w:val="000000" w:themeColor="text1"/>
                                <w:szCs w:val="20"/>
                                <w:lang w:eastAsia="de-DE"/>
                              </w:rPr>
                            </w:pPr>
                            <w:r w:rsidRPr="0046220B">
                              <w:rPr>
                                <w:rFonts w:eastAsia="Times New Roman" w:cstheme="minorHAnsi"/>
                                <w:color w:val="000000" w:themeColor="text1"/>
                                <w:szCs w:val="20"/>
                                <w:lang w:eastAsia="de-DE"/>
                              </w:rPr>
                              <w:t xml:space="preserve">Anhand des Fallbeispiels bietet der Beitrag als Alternative zum Bürgerrechtsentzug umfassende individuell ausgerichtete und frühzeitige Maßnahmen der Präventionsarbeit. Dabei sind diejenigen Staaten angehalten, Verantwortung zu übernehmen und effiziente Angebote zu kreieren und umsetzen, in denen die Personen sich vor ihrer Radikalisierung aufhielten. Entzieht ein Staat einem:r Täter:in als Reaktion auf seine:ihre Straftat das Bürgerrecht, verdrängt er seine eigene </w:t>
                            </w:r>
                            <w:r w:rsidR="007204CC" w:rsidRPr="0046220B">
                              <w:rPr>
                                <w:rFonts w:eastAsia="Times New Roman" w:cstheme="minorHAnsi"/>
                                <w:color w:val="000000" w:themeColor="text1"/>
                                <w:szCs w:val="20"/>
                                <w:lang w:eastAsia="de-DE"/>
                              </w:rPr>
                              <w:t>Pflichtverletzung,</w:t>
                            </w:r>
                            <w:r w:rsidRPr="0046220B">
                              <w:rPr>
                                <w:rFonts w:eastAsia="Times New Roman" w:cstheme="minorHAnsi"/>
                                <w:color w:val="000000" w:themeColor="text1"/>
                                <w:szCs w:val="20"/>
                                <w:lang w:eastAsia="de-DE"/>
                              </w:rPr>
                              <w:t xml:space="preserve"> anstatt Alternativen zu bieten und vernachlässigt seine Verantwortung innerhalb der internationalen Staatengemeinschaft.</w:t>
                            </w:r>
                          </w:p>
                          <w:p w14:paraId="601E5467" w14:textId="31E359DD" w:rsidR="00012A9B" w:rsidRPr="0046220B" w:rsidRDefault="00012A9B" w:rsidP="00012A9B">
                            <w:pPr>
                              <w:rPr>
                                <w:rFonts w:cstheme="minorHAns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2ED171" id="Textfeld 1538943926" o:spid="_x0000_s1027" type="#_x0000_t202" style="position:absolute;margin-left:0;margin-top:.25pt;width:475.5pt;height:115.85pt;z-index:251658245;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CALGAIAADQEAAAOAAAAZHJzL2Uyb0RvYy54bWysU01vGyEQvVfqf0Dc6107TmKvvI7cRK4q&#10;RUkkp8oZs+BdCRgK2Lvur+/A+itpT1UvMDDDfLz3mN11WpGdcL4BU9LhIKdEGA5VYzYl/fG6/DKh&#10;xAdmKqbAiJLuhad388+fZq0txAhqUJVwBJMYX7S2pHUItsgyz2uhmR+AFQadEpxmAY9uk1WOtZhd&#10;q2yU5zdZC66yDrjwHm8feiedp/xSCh6epfQiEFVS7C2k1aV1HddsPmPFxjFbN/zQBvuHLjRrDBY9&#10;pXpggZGta/5IpRvuwIMMAw46AykbLtIMOM0w/zDNqmZWpFkQHG9PMPn/l5Y/7Vb2xZHQfYUOCYyA&#10;tNYXHi/jPJ10Ou7YKUE/Qrg/wSa6QDhe3uRXk8k1ujj6huPbfDpNebLzc+t8+CZAk2iU1CEvCS62&#10;e/QBS2LoMSRWM7BslErcKENaLHGF+d958IUy+PDcbLRCt+5IU10MsoZqj/M56Kn3li8b7OGR+fDC&#10;HHKNfaN+wzMuUgHWgoNFSQ3u19/uYzxSgF5KWtROSf3PLXOCEvXdIDnT4XgcxZYO4+vbER7cpWd9&#10;6TFbfQ8ozyH+FMuTGeODOprSgX5DmS9iVXQxw7F2ScPRvA+9ovGbcLFYpCCUl2Xh0awsj6kjdhHh&#10;1+6NOXugISCDT3BUGSs+sNHH9qgvtgFkk6iKOPeoHuBHaSYGD98oav/ynKLOn33+GwAA//8DAFBL&#10;AwQUAAYACAAAACEA0/U0Et0AAAAFAQAADwAAAGRycy9kb3ducmV2LnhtbEyPT0vDQBTE74LfYXkF&#10;b3bTSKTGbEoJFEH00NqLt5fsaxK6f2J220Y/vc+TPQ4zzPymWE3WiDONofdOwWKegCDXeN27VsH+&#10;Y3O/BBEiOo3GO1LwTQFW5e1Ngbn2F7el8y62gktcyFFBF+OQSxmajiyGuR/IsXfwo8XIcmylHvHC&#10;5dbINEkepcXe8UKHA1UdNcfdySp4rTbvuK1Tu/wx1cvbYT187T8zpe5m0/oZRKQp/ofhD5/RoWSm&#10;2p+cDsIo4CNRQQaCvadswbJWkD6kKciykNf05S8AAAD//wMAUEsBAi0AFAAGAAgAAAAhALaDOJL+&#10;AAAA4QEAABMAAAAAAAAAAAAAAAAAAAAAAFtDb250ZW50X1R5cGVzXS54bWxQSwECLQAUAAYACAAA&#10;ACEAOP0h/9YAAACUAQAACwAAAAAAAAAAAAAAAAAvAQAAX3JlbHMvLnJlbHNQSwECLQAUAAYACAAA&#10;ACEApFwgCxgCAAA0BAAADgAAAAAAAAAAAAAAAAAuAgAAZHJzL2Uyb0RvYy54bWxQSwECLQAUAAYA&#10;CAAAACEA0/U0Et0AAAAFAQAADwAAAAAAAAAAAAAAAAByBAAAZHJzL2Rvd25yZXYueG1sUEsFBgAA&#10;AAAEAAQA8wAAAHwFAAAAAA==&#10;" filled="f" stroked="f" strokeweight=".5pt">
                <v:textbox>
                  <w:txbxContent>
                    <w:p w14:paraId="79FB4DB8" w14:textId="0E2D6410" w:rsidR="00012A9B" w:rsidRPr="0046220B" w:rsidRDefault="00012A9B" w:rsidP="00012A9B">
                      <w:pPr>
                        <w:spacing w:line="276" w:lineRule="auto"/>
                        <w:jc w:val="both"/>
                        <w:rPr>
                          <w:rFonts w:eastAsia="Times New Roman" w:cstheme="minorHAnsi"/>
                          <w:color w:val="000000" w:themeColor="text1"/>
                          <w:szCs w:val="20"/>
                          <w:lang w:eastAsia="de-DE"/>
                        </w:rPr>
                      </w:pPr>
                      <w:r w:rsidRPr="0046220B">
                        <w:rPr>
                          <w:rFonts w:eastAsia="Times New Roman" w:cstheme="minorHAnsi"/>
                          <w:color w:val="000000" w:themeColor="text1"/>
                          <w:szCs w:val="20"/>
                          <w:lang w:eastAsia="de-DE"/>
                        </w:rPr>
                        <w:t xml:space="preserve">Anhand des Fallbeispiels bietet der Beitrag als Alternative zum Bürgerrechtsentzug umfassende individuell ausgerichtete und frühzeitige Maßnahmen der Präventionsarbeit. Dabei sind diejenigen Staaten angehalten, Verantwortung zu übernehmen und effiziente Angebote zu kreieren und umsetzen, in denen die Personen sich vor ihrer Radikalisierung aufhielten. Entzieht ein Staat einem:r Täter:in als Reaktion auf seine:ihre Straftat das Bürgerrecht, verdrängt er seine eigene </w:t>
                      </w:r>
                      <w:r w:rsidR="007204CC" w:rsidRPr="0046220B">
                        <w:rPr>
                          <w:rFonts w:eastAsia="Times New Roman" w:cstheme="minorHAnsi"/>
                          <w:color w:val="000000" w:themeColor="text1"/>
                          <w:szCs w:val="20"/>
                          <w:lang w:eastAsia="de-DE"/>
                        </w:rPr>
                        <w:t>Pflichtverletzung,</w:t>
                      </w:r>
                      <w:r w:rsidRPr="0046220B">
                        <w:rPr>
                          <w:rFonts w:eastAsia="Times New Roman" w:cstheme="minorHAnsi"/>
                          <w:color w:val="000000" w:themeColor="text1"/>
                          <w:szCs w:val="20"/>
                          <w:lang w:eastAsia="de-DE"/>
                        </w:rPr>
                        <w:t xml:space="preserve"> anstatt Alternativen zu bieten und vernachlässigt seine Verantwortung innerhalb der internationalen Staatengemeinschaft.</w:t>
                      </w:r>
                    </w:p>
                    <w:p w14:paraId="601E5467" w14:textId="31E359DD" w:rsidR="00012A9B" w:rsidRPr="0046220B" w:rsidRDefault="00012A9B" w:rsidP="00012A9B">
                      <w:pPr>
                        <w:rPr>
                          <w:rFonts w:cstheme="minorHAnsi"/>
                        </w:rPr>
                      </w:pPr>
                    </w:p>
                  </w:txbxContent>
                </v:textbox>
                <w10:wrap anchorx="margin"/>
              </v:shape>
            </w:pict>
          </mc:Fallback>
        </mc:AlternateContent>
      </w:r>
    </w:p>
    <w:p w14:paraId="2215B224" w14:textId="77777777" w:rsidR="00012A9B" w:rsidRDefault="00012A9B">
      <w:pPr>
        <w:rPr>
          <w:rFonts w:cstheme="minorHAnsi"/>
          <w:b/>
        </w:rPr>
      </w:pPr>
    </w:p>
    <w:p w14:paraId="3971E853" w14:textId="77777777" w:rsidR="00012A9B" w:rsidRDefault="00012A9B">
      <w:pPr>
        <w:rPr>
          <w:rFonts w:cstheme="minorHAnsi"/>
          <w:b/>
        </w:rPr>
      </w:pPr>
    </w:p>
    <w:p w14:paraId="41280A46" w14:textId="77777777" w:rsidR="00012A9B" w:rsidRDefault="00012A9B">
      <w:pPr>
        <w:rPr>
          <w:rFonts w:cstheme="minorHAnsi"/>
          <w:b/>
        </w:rPr>
      </w:pPr>
    </w:p>
    <w:p w14:paraId="1819B48F" w14:textId="77777777" w:rsidR="00012A9B" w:rsidRDefault="00012A9B">
      <w:pPr>
        <w:rPr>
          <w:rFonts w:cstheme="minorHAnsi"/>
          <w:b/>
        </w:rPr>
      </w:pPr>
    </w:p>
    <w:p w14:paraId="3B8F4058" w14:textId="77777777" w:rsidR="00012A9B" w:rsidRDefault="00012A9B">
      <w:pPr>
        <w:rPr>
          <w:rFonts w:cstheme="minorHAnsi"/>
          <w:b/>
        </w:rPr>
      </w:pPr>
    </w:p>
    <w:p w14:paraId="7DDBA6FB" w14:textId="5CA0123F" w:rsidR="00E81F80" w:rsidRPr="00012A9B" w:rsidRDefault="00E81F80">
      <w:pPr>
        <w:rPr>
          <w:rFonts w:cstheme="minorHAnsi"/>
          <w:bCs/>
        </w:rPr>
      </w:pPr>
      <w:r w:rsidRPr="0046220B">
        <w:rPr>
          <w:rFonts w:cstheme="minorHAnsi"/>
          <w:b/>
        </w:rPr>
        <w:t>Zitierweise</w:t>
      </w:r>
      <w:r w:rsidR="00012A9B">
        <w:rPr>
          <w:rFonts w:cstheme="minorHAnsi"/>
          <w:b/>
        </w:rPr>
        <w:t xml:space="preserve">: </w:t>
      </w:r>
      <w:r w:rsidR="00012A9B">
        <w:rPr>
          <w:rFonts w:cstheme="minorHAnsi"/>
          <w:bCs/>
        </w:rPr>
        <w:t>Schädler, Simon</w:t>
      </w:r>
      <w:r w:rsidR="00750EEE">
        <w:rPr>
          <w:rFonts w:cstheme="minorHAnsi"/>
          <w:bCs/>
        </w:rPr>
        <w:t xml:space="preserve">; </w:t>
      </w:r>
      <w:r w:rsidR="00012A9B">
        <w:rPr>
          <w:rFonts w:cstheme="minorHAnsi"/>
          <w:bCs/>
        </w:rPr>
        <w:t xml:space="preserve">Schwarz, Mira. 2025. Welche </w:t>
      </w:r>
      <w:proofErr w:type="gramStart"/>
      <w:r w:rsidR="00012A9B">
        <w:rPr>
          <w:rFonts w:cstheme="minorHAnsi"/>
          <w:bCs/>
        </w:rPr>
        <w:t>Bürger:innen</w:t>
      </w:r>
      <w:proofErr w:type="gramEnd"/>
      <w:r w:rsidR="00012A9B">
        <w:rPr>
          <w:rFonts w:cstheme="minorHAnsi"/>
          <w:bCs/>
        </w:rPr>
        <w:t xml:space="preserve"> erträgt das Land? Entzug der Staatsbürgerschaft bei extremistischen und/oder radikalisierten </w:t>
      </w:r>
      <w:proofErr w:type="gramStart"/>
      <w:r w:rsidR="00012A9B">
        <w:rPr>
          <w:rFonts w:cstheme="minorHAnsi"/>
          <w:bCs/>
        </w:rPr>
        <w:t>Straftäter:innen</w:t>
      </w:r>
      <w:proofErr w:type="gramEnd"/>
      <w:r w:rsidR="00012A9B">
        <w:rPr>
          <w:rFonts w:cstheme="minorHAnsi"/>
          <w:bCs/>
        </w:rPr>
        <w:t xml:space="preserve"> am Beispiel der Schweiz. </w:t>
      </w:r>
      <w:r w:rsidR="00012A9B" w:rsidRPr="006B0849">
        <w:rPr>
          <w:rFonts w:cstheme="minorHAnsi"/>
          <w:bCs/>
          <w:i/>
          <w:iCs/>
        </w:rPr>
        <w:t>ZepRa. Zeitschrift für praxisorientierte (De-)Radikalisierungsforschung</w:t>
      </w:r>
      <w:r w:rsidR="00012A9B">
        <w:rPr>
          <w:rFonts w:cstheme="minorHAnsi"/>
          <w:bCs/>
        </w:rPr>
        <w:t xml:space="preserve">, </w:t>
      </w:r>
      <w:r w:rsidR="006B0849">
        <w:rPr>
          <w:rFonts w:cstheme="minorHAnsi"/>
          <w:bCs/>
        </w:rPr>
        <w:t>Bd</w:t>
      </w:r>
      <w:r w:rsidR="00012A9B">
        <w:rPr>
          <w:rFonts w:cstheme="minorHAnsi"/>
          <w:bCs/>
        </w:rPr>
        <w:t>. 4, Nr.</w:t>
      </w:r>
      <w:r w:rsidR="00B421F8">
        <w:rPr>
          <w:rFonts w:cstheme="minorHAnsi"/>
          <w:bCs/>
        </w:rPr>
        <w:t xml:space="preserve"> </w:t>
      </w:r>
      <w:r w:rsidR="00012A9B">
        <w:rPr>
          <w:rFonts w:cstheme="minorHAnsi"/>
          <w:bCs/>
        </w:rPr>
        <w:t>1</w:t>
      </w:r>
      <w:r w:rsidR="00012A9B" w:rsidRPr="008A024B">
        <w:rPr>
          <w:rFonts w:cstheme="minorHAnsi"/>
          <w:bCs/>
        </w:rPr>
        <w:t xml:space="preserve">: </w:t>
      </w:r>
      <w:r w:rsidR="0005440A" w:rsidRPr="008A024B">
        <w:rPr>
          <w:rFonts w:cstheme="minorHAnsi"/>
          <w:bCs/>
        </w:rPr>
        <w:t>4</w:t>
      </w:r>
      <w:r w:rsidR="00012A9B" w:rsidRPr="008A024B">
        <w:rPr>
          <w:rFonts w:cstheme="minorHAnsi"/>
          <w:bCs/>
        </w:rPr>
        <w:t>-3</w:t>
      </w:r>
      <w:r w:rsidR="008A024B" w:rsidRPr="008A024B">
        <w:rPr>
          <w:rFonts w:cstheme="minorHAnsi"/>
          <w:bCs/>
        </w:rPr>
        <w:t>5</w:t>
      </w:r>
      <w:r w:rsidR="00012A9B" w:rsidRPr="008A024B">
        <w:rPr>
          <w:rFonts w:cstheme="minorHAnsi"/>
          <w:bCs/>
        </w:rPr>
        <w:t>.</w:t>
      </w:r>
    </w:p>
    <w:p w14:paraId="54316C97" w14:textId="77777777" w:rsidR="00CD3B2E" w:rsidRPr="0046220B" w:rsidRDefault="00CD3B2E">
      <w:pPr>
        <w:rPr>
          <w:rFonts w:cstheme="minorHAnsi"/>
        </w:rPr>
      </w:pPr>
    </w:p>
    <w:p w14:paraId="4F0AC539" w14:textId="3E814EAD" w:rsidR="006B0849" w:rsidRDefault="006B0849" w:rsidP="006B0849">
      <w:pPr>
        <w:spacing w:line="256" w:lineRule="auto"/>
        <w:rPr>
          <w:rFonts w:ascii="Calibri" w:eastAsia="Calibri" w:hAnsi="Calibri" w:cs="Times New Roman"/>
          <w:color w:val="016D72"/>
          <w:sz w:val="32"/>
          <w:szCs w:val="32"/>
        </w:rPr>
      </w:pPr>
      <w:r>
        <w:rPr>
          <w:rFonts w:ascii="Calibri" w:eastAsia="Calibri" w:hAnsi="Calibri" w:cs="Times New Roman"/>
          <w:color w:val="016D72"/>
          <w:sz w:val="32"/>
          <w:szCs w:val="32"/>
        </w:rPr>
        <w:t xml:space="preserve">Inhaltsverzeichnis </w:t>
      </w:r>
    </w:p>
    <w:p w14:paraId="76167999" w14:textId="77777777" w:rsidR="006B0849" w:rsidRPr="006B0849" w:rsidRDefault="006B0849" w:rsidP="006B0849">
      <w:pPr>
        <w:spacing w:line="256" w:lineRule="auto"/>
        <w:rPr>
          <w:rFonts w:ascii="Calibri" w:eastAsia="Calibri" w:hAnsi="Calibri" w:cs="Times New Roman"/>
          <w:color w:val="016D72"/>
          <w:sz w:val="32"/>
          <w:szCs w:val="32"/>
        </w:rPr>
      </w:pPr>
    </w:p>
    <w:p w14:paraId="7D2BF2DD" w14:textId="0410DA96" w:rsidR="00B86D45" w:rsidRDefault="00003077">
      <w:pPr>
        <w:pStyle w:val="Verzeichnis1"/>
        <w:tabs>
          <w:tab w:val="right" w:leader="dot" w:pos="9062"/>
        </w:tabs>
        <w:rPr>
          <w:rFonts w:asciiTheme="minorHAnsi" w:eastAsiaTheme="minorEastAsia" w:hAnsiTheme="minorHAnsi" w:cstheme="minorBidi"/>
          <w:bCs w:val="0"/>
          <w:noProof/>
          <w:kern w:val="2"/>
          <w:sz w:val="24"/>
          <w:szCs w:val="24"/>
          <w:lang w:eastAsia="de-DE"/>
        </w:rPr>
      </w:pPr>
      <w:r>
        <w:rPr>
          <w:b/>
          <w:caps/>
          <w:spacing w:val="-10"/>
          <w:sz w:val="32"/>
          <w:szCs w:val="32"/>
        </w:rPr>
        <w:fldChar w:fldCharType="begin"/>
      </w:r>
      <w:r>
        <w:rPr>
          <w:b/>
          <w:caps/>
          <w:spacing w:val="-10"/>
          <w:sz w:val="32"/>
          <w:szCs w:val="32"/>
        </w:rPr>
        <w:instrText xml:space="preserve"> TOC \o "1-1" \h \z \t "Überschrift 2;2;Überschrift 3;3;1. Ebene;1;2. Ebene;2;3. Ebene;3" </w:instrText>
      </w:r>
      <w:r>
        <w:rPr>
          <w:b/>
          <w:caps/>
          <w:spacing w:val="-10"/>
          <w:sz w:val="32"/>
          <w:szCs w:val="32"/>
        </w:rPr>
        <w:fldChar w:fldCharType="separate"/>
      </w:r>
      <w:hyperlink w:anchor="_Toc195609689" w:history="1">
        <w:r w:rsidR="00B86D45" w:rsidRPr="00134E2E">
          <w:rPr>
            <w:rStyle w:val="Hyperlink"/>
            <w:noProof/>
          </w:rPr>
          <w:t>1. Einleitung</w:t>
        </w:r>
        <w:r w:rsidR="00B86D45">
          <w:rPr>
            <w:noProof/>
            <w:webHidden/>
          </w:rPr>
          <w:tab/>
        </w:r>
        <w:r w:rsidR="00B86D45">
          <w:rPr>
            <w:noProof/>
            <w:webHidden/>
          </w:rPr>
          <w:fldChar w:fldCharType="begin"/>
        </w:r>
        <w:r w:rsidR="00B86D45">
          <w:rPr>
            <w:noProof/>
            <w:webHidden/>
          </w:rPr>
          <w:instrText xml:space="preserve"> PAGEREF _Toc195609689 \h </w:instrText>
        </w:r>
        <w:r w:rsidR="00B86D45">
          <w:rPr>
            <w:noProof/>
            <w:webHidden/>
          </w:rPr>
        </w:r>
        <w:r w:rsidR="00B86D45">
          <w:rPr>
            <w:noProof/>
            <w:webHidden/>
          </w:rPr>
          <w:fldChar w:fldCharType="separate"/>
        </w:r>
        <w:r w:rsidR="005B1AE0">
          <w:rPr>
            <w:noProof/>
            <w:webHidden/>
          </w:rPr>
          <w:t>8</w:t>
        </w:r>
        <w:r w:rsidR="00B86D45">
          <w:rPr>
            <w:noProof/>
            <w:webHidden/>
          </w:rPr>
          <w:fldChar w:fldCharType="end"/>
        </w:r>
      </w:hyperlink>
    </w:p>
    <w:p w14:paraId="1A10FA1B" w14:textId="636795E0" w:rsidR="00B86D45" w:rsidRDefault="00B86D45">
      <w:pPr>
        <w:pStyle w:val="Verzeichnis1"/>
        <w:tabs>
          <w:tab w:val="right" w:leader="dot" w:pos="9062"/>
        </w:tabs>
        <w:rPr>
          <w:rFonts w:asciiTheme="minorHAnsi" w:eastAsiaTheme="minorEastAsia" w:hAnsiTheme="minorHAnsi" w:cstheme="minorBidi"/>
          <w:bCs w:val="0"/>
          <w:noProof/>
          <w:kern w:val="2"/>
          <w:sz w:val="24"/>
          <w:szCs w:val="24"/>
          <w:lang w:eastAsia="de-DE"/>
        </w:rPr>
      </w:pPr>
      <w:hyperlink w:anchor="_Toc195609690" w:history="1">
        <w:r w:rsidRPr="00134E2E">
          <w:rPr>
            <w:rStyle w:val="Hyperlink"/>
            <w:noProof/>
          </w:rPr>
          <w:t>2. Problem- und Fragestellung</w:t>
        </w:r>
        <w:r>
          <w:rPr>
            <w:noProof/>
            <w:webHidden/>
          </w:rPr>
          <w:tab/>
        </w:r>
        <w:r>
          <w:rPr>
            <w:noProof/>
            <w:webHidden/>
          </w:rPr>
          <w:fldChar w:fldCharType="begin"/>
        </w:r>
        <w:r>
          <w:rPr>
            <w:noProof/>
            <w:webHidden/>
          </w:rPr>
          <w:instrText xml:space="preserve"> PAGEREF _Toc195609690 \h </w:instrText>
        </w:r>
        <w:r>
          <w:rPr>
            <w:noProof/>
            <w:webHidden/>
          </w:rPr>
        </w:r>
        <w:r>
          <w:rPr>
            <w:noProof/>
            <w:webHidden/>
          </w:rPr>
          <w:fldChar w:fldCharType="separate"/>
        </w:r>
        <w:r w:rsidR="005B1AE0">
          <w:rPr>
            <w:noProof/>
            <w:webHidden/>
          </w:rPr>
          <w:t>9</w:t>
        </w:r>
        <w:r>
          <w:rPr>
            <w:noProof/>
            <w:webHidden/>
          </w:rPr>
          <w:fldChar w:fldCharType="end"/>
        </w:r>
      </w:hyperlink>
    </w:p>
    <w:p w14:paraId="18578DFE" w14:textId="58223C1F" w:rsidR="00B86D45" w:rsidRDefault="00B86D45">
      <w:pPr>
        <w:pStyle w:val="Verzeichnis2"/>
        <w:tabs>
          <w:tab w:val="right" w:leader="dot" w:pos="9062"/>
        </w:tabs>
        <w:rPr>
          <w:rFonts w:asciiTheme="minorHAnsi" w:eastAsiaTheme="minorEastAsia" w:hAnsiTheme="minorHAnsi" w:cstheme="minorBidi"/>
          <w:noProof/>
          <w:kern w:val="2"/>
          <w:sz w:val="24"/>
          <w:szCs w:val="24"/>
          <w:lang w:val="de-CH" w:eastAsia="de-DE"/>
          <w14:ligatures w14:val="standardContextual"/>
        </w:rPr>
      </w:pPr>
      <w:hyperlink w:anchor="_Toc195609691" w:history="1">
        <w:r w:rsidRPr="00134E2E">
          <w:rPr>
            <w:rStyle w:val="Hyperlink"/>
            <w:noProof/>
          </w:rPr>
          <w:t>2.1 Einleitendes Fallbeispiel</w:t>
        </w:r>
        <w:r>
          <w:rPr>
            <w:noProof/>
            <w:webHidden/>
          </w:rPr>
          <w:tab/>
        </w:r>
        <w:r>
          <w:rPr>
            <w:noProof/>
            <w:webHidden/>
          </w:rPr>
          <w:fldChar w:fldCharType="begin"/>
        </w:r>
        <w:r>
          <w:rPr>
            <w:noProof/>
            <w:webHidden/>
          </w:rPr>
          <w:instrText xml:space="preserve"> PAGEREF _Toc195609691 \h </w:instrText>
        </w:r>
        <w:r>
          <w:rPr>
            <w:noProof/>
            <w:webHidden/>
          </w:rPr>
        </w:r>
        <w:r>
          <w:rPr>
            <w:noProof/>
            <w:webHidden/>
          </w:rPr>
          <w:fldChar w:fldCharType="separate"/>
        </w:r>
        <w:r w:rsidR="005B1AE0">
          <w:rPr>
            <w:noProof/>
            <w:webHidden/>
          </w:rPr>
          <w:t>9</w:t>
        </w:r>
        <w:r>
          <w:rPr>
            <w:noProof/>
            <w:webHidden/>
          </w:rPr>
          <w:fldChar w:fldCharType="end"/>
        </w:r>
      </w:hyperlink>
    </w:p>
    <w:p w14:paraId="71EEF4E1" w14:textId="491B9B71" w:rsidR="00B86D45" w:rsidRDefault="00B86D45">
      <w:pPr>
        <w:pStyle w:val="Verzeichnis2"/>
        <w:tabs>
          <w:tab w:val="right" w:leader="dot" w:pos="9062"/>
        </w:tabs>
        <w:rPr>
          <w:rFonts w:asciiTheme="minorHAnsi" w:eastAsiaTheme="minorEastAsia" w:hAnsiTheme="minorHAnsi" w:cstheme="minorBidi"/>
          <w:noProof/>
          <w:kern w:val="2"/>
          <w:sz w:val="24"/>
          <w:szCs w:val="24"/>
          <w:lang w:val="de-CH" w:eastAsia="de-DE"/>
          <w14:ligatures w14:val="standardContextual"/>
        </w:rPr>
      </w:pPr>
      <w:hyperlink w:anchor="_Toc195609692" w:history="1">
        <w:r w:rsidRPr="00134E2E">
          <w:rPr>
            <w:rStyle w:val="Hyperlink"/>
            <w:noProof/>
          </w:rPr>
          <w:t>2.1 Fragestellung und Methodik</w:t>
        </w:r>
        <w:r>
          <w:rPr>
            <w:noProof/>
            <w:webHidden/>
          </w:rPr>
          <w:tab/>
        </w:r>
        <w:r>
          <w:rPr>
            <w:noProof/>
            <w:webHidden/>
          </w:rPr>
          <w:fldChar w:fldCharType="begin"/>
        </w:r>
        <w:r>
          <w:rPr>
            <w:noProof/>
            <w:webHidden/>
          </w:rPr>
          <w:instrText xml:space="preserve"> PAGEREF _Toc195609692 \h </w:instrText>
        </w:r>
        <w:r>
          <w:rPr>
            <w:noProof/>
            <w:webHidden/>
          </w:rPr>
        </w:r>
        <w:r>
          <w:rPr>
            <w:noProof/>
            <w:webHidden/>
          </w:rPr>
          <w:fldChar w:fldCharType="separate"/>
        </w:r>
        <w:r w:rsidR="005B1AE0">
          <w:rPr>
            <w:noProof/>
            <w:webHidden/>
          </w:rPr>
          <w:t>10</w:t>
        </w:r>
        <w:r>
          <w:rPr>
            <w:noProof/>
            <w:webHidden/>
          </w:rPr>
          <w:fldChar w:fldCharType="end"/>
        </w:r>
      </w:hyperlink>
    </w:p>
    <w:p w14:paraId="773550FF" w14:textId="0B196B51" w:rsidR="00B86D45" w:rsidRDefault="00B86D45">
      <w:pPr>
        <w:pStyle w:val="Verzeichnis1"/>
        <w:tabs>
          <w:tab w:val="right" w:leader="dot" w:pos="9062"/>
        </w:tabs>
        <w:rPr>
          <w:rFonts w:asciiTheme="minorHAnsi" w:eastAsiaTheme="minorEastAsia" w:hAnsiTheme="minorHAnsi" w:cstheme="minorBidi"/>
          <w:bCs w:val="0"/>
          <w:noProof/>
          <w:kern w:val="2"/>
          <w:sz w:val="24"/>
          <w:szCs w:val="24"/>
          <w:lang w:eastAsia="de-DE"/>
        </w:rPr>
      </w:pPr>
      <w:hyperlink w:anchor="_Toc195609693" w:history="1">
        <w:r w:rsidRPr="00134E2E">
          <w:rPr>
            <w:rStyle w:val="Hyperlink"/>
            <w:noProof/>
          </w:rPr>
          <w:t>3. Juristische Einordnung</w:t>
        </w:r>
        <w:r>
          <w:rPr>
            <w:noProof/>
            <w:webHidden/>
          </w:rPr>
          <w:tab/>
        </w:r>
        <w:r>
          <w:rPr>
            <w:noProof/>
            <w:webHidden/>
          </w:rPr>
          <w:fldChar w:fldCharType="begin"/>
        </w:r>
        <w:r>
          <w:rPr>
            <w:noProof/>
            <w:webHidden/>
          </w:rPr>
          <w:instrText xml:space="preserve"> PAGEREF _Toc195609693 \h </w:instrText>
        </w:r>
        <w:r>
          <w:rPr>
            <w:noProof/>
            <w:webHidden/>
          </w:rPr>
        </w:r>
        <w:r>
          <w:rPr>
            <w:noProof/>
            <w:webHidden/>
          </w:rPr>
          <w:fldChar w:fldCharType="separate"/>
        </w:r>
        <w:r w:rsidR="005B1AE0">
          <w:rPr>
            <w:noProof/>
            <w:webHidden/>
          </w:rPr>
          <w:t>10</w:t>
        </w:r>
        <w:r>
          <w:rPr>
            <w:noProof/>
            <w:webHidden/>
          </w:rPr>
          <w:fldChar w:fldCharType="end"/>
        </w:r>
      </w:hyperlink>
    </w:p>
    <w:p w14:paraId="5371512E" w14:textId="6A841A41" w:rsidR="00B86D45" w:rsidRDefault="00B86D45">
      <w:pPr>
        <w:pStyle w:val="Verzeichnis2"/>
        <w:tabs>
          <w:tab w:val="right" w:leader="dot" w:pos="9062"/>
        </w:tabs>
        <w:rPr>
          <w:rFonts w:asciiTheme="minorHAnsi" w:eastAsiaTheme="minorEastAsia" w:hAnsiTheme="minorHAnsi" w:cstheme="minorBidi"/>
          <w:noProof/>
          <w:kern w:val="2"/>
          <w:sz w:val="24"/>
          <w:szCs w:val="24"/>
          <w:lang w:val="de-CH" w:eastAsia="de-DE"/>
          <w14:ligatures w14:val="standardContextual"/>
        </w:rPr>
      </w:pPr>
      <w:hyperlink w:anchor="_Toc195609694" w:history="1">
        <w:r w:rsidRPr="00134E2E">
          <w:rPr>
            <w:rStyle w:val="Hyperlink"/>
            <w:noProof/>
          </w:rPr>
          <w:t>3.1 Einführung</w:t>
        </w:r>
        <w:r>
          <w:rPr>
            <w:noProof/>
            <w:webHidden/>
          </w:rPr>
          <w:tab/>
        </w:r>
        <w:r>
          <w:rPr>
            <w:noProof/>
            <w:webHidden/>
          </w:rPr>
          <w:fldChar w:fldCharType="begin"/>
        </w:r>
        <w:r>
          <w:rPr>
            <w:noProof/>
            <w:webHidden/>
          </w:rPr>
          <w:instrText xml:space="preserve"> PAGEREF _Toc195609694 \h </w:instrText>
        </w:r>
        <w:r>
          <w:rPr>
            <w:noProof/>
            <w:webHidden/>
          </w:rPr>
        </w:r>
        <w:r>
          <w:rPr>
            <w:noProof/>
            <w:webHidden/>
          </w:rPr>
          <w:fldChar w:fldCharType="separate"/>
        </w:r>
        <w:r w:rsidR="005B1AE0">
          <w:rPr>
            <w:noProof/>
            <w:webHidden/>
          </w:rPr>
          <w:t>10</w:t>
        </w:r>
        <w:r>
          <w:rPr>
            <w:noProof/>
            <w:webHidden/>
          </w:rPr>
          <w:fldChar w:fldCharType="end"/>
        </w:r>
      </w:hyperlink>
    </w:p>
    <w:p w14:paraId="3D442601" w14:textId="0AEE887E" w:rsidR="00B86D45" w:rsidRDefault="00B86D45">
      <w:pPr>
        <w:pStyle w:val="Verzeichnis2"/>
        <w:tabs>
          <w:tab w:val="right" w:leader="dot" w:pos="9062"/>
        </w:tabs>
        <w:rPr>
          <w:rFonts w:asciiTheme="minorHAnsi" w:eastAsiaTheme="minorEastAsia" w:hAnsiTheme="minorHAnsi" w:cstheme="minorBidi"/>
          <w:noProof/>
          <w:kern w:val="2"/>
          <w:sz w:val="24"/>
          <w:szCs w:val="24"/>
          <w:lang w:val="de-CH" w:eastAsia="de-DE"/>
          <w14:ligatures w14:val="standardContextual"/>
        </w:rPr>
      </w:pPr>
      <w:hyperlink w:anchor="_Toc195609695" w:history="1">
        <w:r w:rsidRPr="00134E2E">
          <w:rPr>
            <w:rStyle w:val="Hyperlink"/>
            <w:noProof/>
          </w:rPr>
          <w:t>3.2 Ausbürgerung als Instrument der wehrhaften Demokratie</w:t>
        </w:r>
        <w:r>
          <w:rPr>
            <w:noProof/>
            <w:webHidden/>
          </w:rPr>
          <w:tab/>
        </w:r>
        <w:r>
          <w:rPr>
            <w:noProof/>
            <w:webHidden/>
          </w:rPr>
          <w:fldChar w:fldCharType="begin"/>
        </w:r>
        <w:r>
          <w:rPr>
            <w:noProof/>
            <w:webHidden/>
          </w:rPr>
          <w:instrText xml:space="preserve"> PAGEREF _Toc195609695 \h </w:instrText>
        </w:r>
        <w:r>
          <w:rPr>
            <w:noProof/>
            <w:webHidden/>
          </w:rPr>
        </w:r>
        <w:r>
          <w:rPr>
            <w:noProof/>
            <w:webHidden/>
          </w:rPr>
          <w:fldChar w:fldCharType="separate"/>
        </w:r>
        <w:r w:rsidR="005B1AE0">
          <w:rPr>
            <w:noProof/>
            <w:webHidden/>
          </w:rPr>
          <w:t>12</w:t>
        </w:r>
        <w:r>
          <w:rPr>
            <w:noProof/>
            <w:webHidden/>
          </w:rPr>
          <w:fldChar w:fldCharType="end"/>
        </w:r>
      </w:hyperlink>
    </w:p>
    <w:p w14:paraId="7A72DB76" w14:textId="4F559B7D" w:rsidR="00B86D45" w:rsidRDefault="00B86D45">
      <w:pPr>
        <w:pStyle w:val="Verzeichnis3"/>
        <w:tabs>
          <w:tab w:val="right" w:leader="dot" w:pos="9062"/>
        </w:tabs>
        <w:rPr>
          <w:rFonts w:asciiTheme="minorHAnsi" w:eastAsiaTheme="minorEastAsia" w:hAnsiTheme="minorHAnsi" w:cstheme="minorBidi"/>
          <w:iCs w:val="0"/>
          <w:noProof/>
          <w:kern w:val="2"/>
          <w:sz w:val="24"/>
          <w:szCs w:val="24"/>
          <w:lang w:val="de-CH" w:eastAsia="de-DE"/>
          <w14:ligatures w14:val="standardContextual"/>
        </w:rPr>
      </w:pPr>
      <w:hyperlink w:anchor="_Toc195609696" w:history="1">
        <w:r w:rsidRPr="00134E2E">
          <w:rPr>
            <w:rStyle w:val="Hyperlink"/>
            <w:noProof/>
          </w:rPr>
          <w:t>3.2.1 Ausbürgerung nach Schweizer Recht</w:t>
        </w:r>
        <w:r>
          <w:rPr>
            <w:noProof/>
            <w:webHidden/>
          </w:rPr>
          <w:tab/>
        </w:r>
        <w:r>
          <w:rPr>
            <w:noProof/>
            <w:webHidden/>
          </w:rPr>
          <w:fldChar w:fldCharType="begin"/>
        </w:r>
        <w:r>
          <w:rPr>
            <w:noProof/>
            <w:webHidden/>
          </w:rPr>
          <w:instrText xml:space="preserve"> PAGEREF _Toc195609696 \h </w:instrText>
        </w:r>
        <w:r>
          <w:rPr>
            <w:noProof/>
            <w:webHidden/>
          </w:rPr>
        </w:r>
        <w:r>
          <w:rPr>
            <w:noProof/>
            <w:webHidden/>
          </w:rPr>
          <w:fldChar w:fldCharType="separate"/>
        </w:r>
        <w:r w:rsidR="005B1AE0">
          <w:rPr>
            <w:noProof/>
            <w:webHidden/>
          </w:rPr>
          <w:t>12</w:t>
        </w:r>
        <w:r>
          <w:rPr>
            <w:noProof/>
            <w:webHidden/>
          </w:rPr>
          <w:fldChar w:fldCharType="end"/>
        </w:r>
      </w:hyperlink>
    </w:p>
    <w:p w14:paraId="235A3BAD" w14:textId="32AC28D1" w:rsidR="00B86D45" w:rsidRDefault="00B86D45">
      <w:pPr>
        <w:pStyle w:val="Verzeichnis3"/>
        <w:tabs>
          <w:tab w:val="right" w:leader="dot" w:pos="9062"/>
        </w:tabs>
        <w:rPr>
          <w:rFonts w:asciiTheme="minorHAnsi" w:eastAsiaTheme="minorEastAsia" w:hAnsiTheme="minorHAnsi" w:cstheme="minorBidi"/>
          <w:iCs w:val="0"/>
          <w:noProof/>
          <w:kern w:val="2"/>
          <w:sz w:val="24"/>
          <w:szCs w:val="24"/>
          <w:lang w:val="de-CH" w:eastAsia="de-DE"/>
          <w14:ligatures w14:val="standardContextual"/>
        </w:rPr>
      </w:pPr>
      <w:hyperlink w:anchor="_Toc195609697" w:history="1">
        <w:r w:rsidRPr="00134E2E">
          <w:rPr>
            <w:rStyle w:val="Hyperlink"/>
            <w:noProof/>
          </w:rPr>
          <w:t>3.2.2 Entzugsverfahren in der Schweiz</w:t>
        </w:r>
        <w:r>
          <w:rPr>
            <w:noProof/>
            <w:webHidden/>
          </w:rPr>
          <w:tab/>
        </w:r>
        <w:r>
          <w:rPr>
            <w:noProof/>
            <w:webHidden/>
          </w:rPr>
          <w:fldChar w:fldCharType="begin"/>
        </w:r>
        <w:r>
          <w:rPr>
            <w:noProof/>
            <w:webHidden/>
          </w:rPr>
          <w:instrText xml:space="preserve"> PAGEREF _Toc195609697 \h </w:instrText>
        </w:r>
        <w:r>
          <w:rPr>
            <w:noProof/>
            <w:webHidden/>
          </w:rPr>
        </w:r>
        <w:r>
          <w:rPr>
            <w:noProof/>
            <w:webHidden/>
          </w:rPr>
          <w:fldChar w:fldCharType="separate"/>
        </w:r>
        <w:r w:rsidR="005B1AE0">
          <w:rPr>
            <w:noProof/>
            <w:webHidden/>
          </w:rPr>
          <w:t>13</w:t>
        </w:r>
        <w:r>
          <w:rPr>
            <w:noProof/>
            <w:webHidden/>
          </w:rPr>
          <w:fldChar w:fldCharType="end"/>
        </w:r>
      </w:hyperlink>
    </w:p>
    <w:p w14:paraId="57B00E6C" w14:textId="221B156F" w:rsidR="00B86D45" w:rsidRDefault="00B86D45">
      <w:pPr>
        <w:pStyle w:val="Verzeichnis3"/>
        <w:tabs>
          <w:tab w:val="right" w:leader="dot" w:pos="9062"/>
        </w:tabs>
        <w:rPr>
          <w:rFonts w:asciiTheme="minorHAnsi" w:eastAsiaTheme="minorEastAsia" w:hAnsiTheme="minorHAnsi" w:cstheme="minorBidi"/>
          <w:iCs w:val="0"/>
          <w:noProof/>
          <w:kern w:val="2"/>
          <w:sz w:val="24"/>
          <w:szCs w:val="24"/>
          <w:lang w:val="de-CH" w:eastAsia="de-DE"/>
          <w14:ligatures w14:val="standardContextual"/>
        </w:rPr>
      </w:pPr>
      <w:hyperlink w:anchor="_Toc195609698" w:history="1">
        <w:r w:rsidRPr="00134E2E">
          <w:rPr>
            <w:rStyle w:val="Hyperlink"/>
            <w:noProof/>
          </w:rPr>
          <w:t>3.2.3 Völkerrechtliche Einordnung</w:t>
        </w:r>
        <w:r>
          <w:rPr>
            <w:noProof/>
            <w:webHidden/>
          </w:rPr>
          <w:tab/>
        </w:r>
        <w:r>
          <w:rPr>
            <w:noProof/>
            <w:webHidden/>
          </w:rPr>
          <w:fldChar w:fldCharType="begin"/>
        </w:r>
        <w:r>
          <w:rPr>
            <w:noProof/>
            <w:webHidden/>
          </w:rPr>
          <w:instrText xml:space="preserve"> PAGEREF _Toc195609698 \h </w:instrText>
        </w:r>
        <w:r>
          <w:rPr>
            <w:noProof/>
            <w:webHidden/>
          </w:rPr>
        </w:r>
        <w:r>
          <w:rPr>
            <w:noProof/>
            <w:webHidden/>
          </w:rPr>
          <w:fldChar w:fldCharType="separate"/>
        </w:r>
        <w:r w:rsidR="005B1AE0">
          <w:rPr>
            <w:noProof/>
            <w:webHidden/>
          </w:rPr>
          <w:t>13</w:t>
        </w:r>
        <w:r>
          <w:rPr>
            <w:noProof/>
            <w:webHidden/>
          </w:rPr>
          <w:fldChar w:fldCharType="end"/>
        </w:r>
      </w:hyperlink>
    </w:p>
    <w:p w14:paraId="18263661" w14:textId="760B3C2A" w:rsidR="00B86D45" w:rsidRDefault="00B86D45">
      <w:pPr>
        <w:pStyle w:val="Verzeichnis3"/>
        <w:tabs>
          <w:tab w:val="right" w:leader="dot" w:pos="9062"/>
        </w:tabs>
        <w:rPr>
          <w:rFonts w:asciiTheme="minorHAnsi" w:eastAsiaTheme="minorEastAsia" w:hAnsiTheme="minorHAnsi" w:cstheme="minorBidi"/>
          <w:iCs w:val="0"/>
          <w:noProof/>
          <w:kern w:val="2"/>
          <w:sz w:val="24"/>
          <w:szCs w:val="24"/>
          <w:lang w:val="de-CH" w:eastAsia="de-DE"/>
          <w14:ligatures w14:val="standardContextual"/>
        </w:rPr>
      </w:pPr>
      <w:hyperlink w:anchor="_Toc195609699" w:history="1">
        <w:r w:rsidRPr="00134E2E">
          <w:rPr>
            <w:rStyle w:val="Hyperlink"/>
            <w:noProof/>
          </w:rPr>
          <w:t>3.2.4 Zwischenfazit</w:t>
        </w:r>
        <w:r>
          <w:rPr>
            <w:noProof/>
            <w:webHidden/>
          </w:rPr>
          <w:tab/>
        </w:r>
        <w:r>
          <w:rPr>
            <w:noProof/>
            <w:webHidden/>
          </w:rPr>
          <w:fldChar w:fldCharType="begin"/>
        </w:r>
        <w:r>
          <w:rPr>
            <w:noProof/>
            <w:webHidden/>
          </w:rPr>
          <w:instrText xml:space="preserve"> PAGEREF _Toc195609699 \h </w:instrText>
        </w:r>
        <w:r>
          <w:rPr>
            <w:noProof/>
            <w:webHidden/>
          </w:rPr>
        </w:r>
        <w:r>
          <w:rPr>
            <w:noProof/>
            <w:webHidden/>
          </w:rPr>
          <w:fldChar w:fldCharType="separate"/>
        </w:r>
        <w:r w:rsidR="005B1AE0">
          <w:rPr>
            <w:noProof/>
            <w:webHidden/>
          </w:rPr>
          <w:t>15</w:t>
        </w:r>
        <w:r>
          <w:rPr>
            <w:noProof/>
            <w:webHidden/>
          </w:rPr>
          <w:fldChar w:fldCharType="end"/>
        </w:r>
      </w:hyperlink>
    </w:p>
    <w:p w14:paraId="0D00E55B" w14:textId="6DA82A5A" w:rsidR="00B86D45" w:rsidRDefault="00B86D45">
      <w:pPr>
        <w:pStyle w:val="Verzeichnis2"/>
        <w:tabs>
          <w:tab w:val="right" w:leader="dot" w:pos="9062"/>
        </w:tabs>
        <w:rPr>
          <w:rFonts w:asciiTheme="minorHAnsi" w:eastAsiaTheme="minorEastAsia" w:hAnsiTheme="minorHAnsi" w:cstheme="minorBidi"/>
          <w:noProof/>
          <w:kern w:val="2"/>
          <w:sz w:val="24"/>
          <w:szCs w:val="24"/>
          <w:lang w:val="de-CH" w:eastAsia="de-DE"/>
          <w14:ligatures w14:val="standardContextual"/>
        </w:rPr>
      </w:pPr>
      <w:hyperlink w:anchor="_Toc195609700" w:history="1">
        <w:r w:rsidRPr="00134E2E">
          <w:rPr>
            <w:rStyle w:val="Hyperlink"/>
            <w:noProof/>
          </w:rPr>
          <w:t>3.3 Kritische Überlegungen im Überblick</w:t>
        </w:r>
        <w:r>
          <w:rPr>
            <w:noProof/>
            <w:webHidden/>
          </w:rPr>
          <w:tab/>
        </w:r>
        <w:r>
          <w:rPr>
            <w:noProof/>
            <w:webHidden/>
          </w:rPr>
          <w:fldChar w:fldCharType="begin"/>
        </w:r>
        <w:r>
          <w:rPr>
            <w:noProof/>
            <w:webHidden/>
          </w:rPr>
          <w:instrText xml:space="preserve"> PAGEREF _Toc195609700 \h </w:instrText>
        </w:r>
        <w:r>
          <w:rPr>
            <w:noProof/>
            <w:webHidden/>
          </w:rPr>
        </w:r>
        <w:r>
          <w:rPr>
            <w:noProof/>
            <w:webHidden/>
          </w:rPr>
          <w:fldChar w:fldCharType="separate"/>
        </w:r>
        <w:r w:rsidR="005B1AE0">
          <w:rPr>
            <w:noProof/>
            <w:webHidden/>
          </w:rPr>
          <w:t>15</w:t>
        </w:r>
        <w:r>
          <w:rPr>
            <w:noProof/>
            <w:webHidden/>
          </w:rPr>
          <w:fldChar w:fldCharType="end"/>
        </w:r>
      </w:hyperlink>
    </w:p>
    <w:p w14:paraId="766B9DC9" w14:textId="4CC830B1" w:rsidR="00B86D45" w:rsidRDefault="00B86D45">
      <w:pPr>
        <w:pStyle w:val="Verzeichnis3"/>
        <w:tabs>
          <w:tab w:val="right" w:leader="dot" w:pos="9062"/>
        </w:tabs>
        <w:rPr>
          <w:rFonts w:asciiTheme="minorHAnsi" w:eastAsiaTheme="minorEastAsia" w:hAnsiTheme="minorHAnsi" w:cstheme="minorBidi"/>
          <w:iCs w:val="0"/>
          <w:noProof/>
          <w:kern w:val="2"/>
          <w:sz w:val="24"/>
          <w:szCs w:val="24"/>
          <w:lang w:val="de-CH" w:eastAsia="de-DE"/>
          <w14:ligatures w14:val="standardContextual"/>
        </w:rPr>
      </w:pPr>
      <w:hyperlink w:anchor="_Toc195609701" w:history="1">
        <w:r w:rsidRPr="00134E2E">
          <w:rPr>
            <w:rStyle w:val="Hyperlink"/>
            <w:noProof/>
          </w:rPr>
          <w:t>3.3.1 Einleitung</w:t>
        </w:r>
        <w:r>
          <w:rPr>
            <w:noProof/>
            <w:webHidden/>
          </w:rPr>
          <w:tab/>
        </w:r>
        <w:r>
          <w:rPr>
            <w:noProof/>
            <w:webHidden/>
          </w:rPr>
          <w:fldChar w:fldCharType="begin"/>
        </w:r>
        <w:r>
          <w:rPr>
            <w:noProof/>
            <w:webHidden/>
          </w:rPr>
          <w:instrText xml:space="preserve"> PAGEREF _Toc195609701 \h </w:instrText>
        </w:r>
        <w:r>
          <w:rPr>
            <w:noProof/>
            <w:webHidden/>
          </w:rPr>
        </w:r>
        <w:r>
          <w:rPr>
            <w:noProof/>
            <w:webHidden/>
          </w:rPr>
          <w:fldChar w:fldCharType="separate"/>
        </w:r>
        <w:r w:rsidR="005B1AE0">
          <w:rPr>
            <w:noProof/>
            <w:webHidden/>
          </w:rPr>
          <w:t>15</w:t>
        </w:r>
        <w:r>
          <w:rPr>
            <w:noProof/>
            <w:webHidden/>
          </w:rPr>
          <w:fldChar w:fldCharType="end"/>
        </w:r>
      </w:hyperlink>
    </w:p>
    <w:p w14:paraId="19911E09" w14:textId="781ACE62" w:rsidR="00B86D45" w:rsidRDefault="00B86D45">
      <w:pPr>
        <w:pStyle w:val="Verzeichnis3"/>
        <w:tabs>
          <w:tab w:val="right" w:leader="dot" w:pos="9062"/>
        </w:tabs>
        <w:rPr>
          <w:rFonts w:asciiTheme="minorHAnsi" w:eastAsiaTheme="minorEastAsia" w:hAnsiTheme="minorHAnsi" w:cstheme="minorBidi"/>
          <w:iCs w:val="0"/>
          <w:noProof/>
          <w:kern w:val="2"/>
          <w:sz w:val="24"/>
          <w:szCs w:val="24"/>
          <w:lang w:val="de-CH" w:eastAsia="de-DE"/>
          <w14:ligatures w14:val="standardContextual"/>
        </w:rPr>
      </w:pPr>
      <w:hyperlink w:anchor="_Toc195609702" w:history="1">
        <w:r w:rsidRPr="00134E2E">
          <w:rPr>
            <w:rStyle w:val="Hyperlink"/>
            <w:noProof/>
          </w:rPr>
          <w:t>3.3.2 Diskriminierende Ungleichbehandlung</w:t>
        </w:r>
        <w:r>
          <w:rPr>
            <w:noProof/>
            <w:webHidden/>
          </w:rPr>
          <w:tab/>
        </w:r>
        <w:r>
          <w:rPr>
            <w:noProof/>
            <w:webHidden/>
          </w:rPr>
          <w:fldChar w:fldCharType="begin"/>
        </w:r>
        <w:r>
          <w:rPr>
            <w:noProof/>
            <w:webHidden/>
          </w:rPr>
          <w:instrText xml:space="preserve"> PAGEREF _Toc195609702 \h </w:instrText>
        </w:r>
        <w:r>
          <w:rPr>
            <w:noProof/>
            <w:webHidden/>
          </w:rPr>
        </w:r>
        <w:r>
          <w:rPr>
            <w:noProof/>
            <w:webHidden/>
          </w:rPr>
          <w:fldChar w:fldCharType="separate"/>
        </w:r>
        <w:r w:rsidR="005B1AE0">
          <w:rPr>
            <w:noProof/>
            <w:webHidden/>
          </w:rPr>
          <w:t>16</w:t>
        </w:r>
        <w:r>
          <w:rPr>
            <w:noProof/>
            <w:webHidden/>
          </w:rPr>
          <w:fldChar w:fldCharType="end"/>
        </w:r>
      </w:hyperlink>
    </w:p>
    <w:p w14:paraId="6F39F60A" w14:textId="3BE90826" w:rsidR="00B86D45" w:rsidRDefault="00B86D45">
      <w:pPr>
        <w:pStyle w:val="Verzeichnis3"/>
        <w:tabs>
          <w:tab w:val="right" w:leader="dot" w:pos="9062"/>
        </w:tabs>
        <w:rPr>
          <w:rFonts w:asciiTheme="minorHAnsi" w:eastAsiaTheme="minorEastAsia" w:hAnsiTheme="minorHAnsi" w:cstheme="minorBidi"/>
          <w:iCs w:val="0"/>
          <w:noProof/>
          <w:kern w:val="2"/>
          <w:sz w:val="24"/>
          <w:szCs w:val="24"/>
          <w:lang w:val="de-CH" w:eastAsia="de-DE"/>
          <w14:ligatures w14:val="standardContextual"/>
        </w:rPr>
      </w:pPr>
      <w:hyperlink w:anchor="_Toc195609703" w:history="1">
        <w:r w:rsidRPr="00134E2E">
          <w:rPr>
            <w:rStyle w:val="Hyperlink"/>
            <w:noProof/>
          </w:rPr>
          <w:t>3.3.3 Verhältnismäßigkeit des Bürgerrechtsentzugs</w:t>
        </w:r>
        <w:r>
          <w:rPr>
            <w:noProof/>
            <w:webHidden/>
          </w:rPr>
          <w:tab/>
        </w:r>
        <w:r>
          <w:rPr>
            <w:noProof/>
            <w:webHidden/>
          </w:rPr>
          <w:fldChar w:fldCharType="begin"/>
        </w:r>
        <w:r>
          <w:rPr>
            <w:noProof/>
            <w:webHidden/>
          </w:rPr>
          <w:instrText xml:space="preserve"> PAGEREF _Toc195609703 \h </w:instrText>
        </w:r>
        <w:r>
          <w:rPr>
            <w:noProof/>
            <w:webHidden/>
          </w:rPr>
        </w:r>
        <w:r>
          <w:rPr>
            <w:noProof/>
            <w:webHidden/>
          </w:rPr>
          <w:fldChar w:fldCharType="separate"/>
        </w:r>
        <w:r w:rsidR="005B1AE0">
          <w:rPr>
            <w:noProof/>
            <w:webHidden/>
          </w:rPr>
          <w:t>17</w:t>
        </w:r>
        <w:r>
          <w:rPr>
            <w:noProof/>
            <w:webHidden/>
          </w:rPr>
          <w:fldChar w:fldCharType="end"/>
        </w:r>
      </w:hyperlink>
    </w:p>
    <w:p w14:paraId="1DA0D55F" w14:textId="1604EA1A" w:rsidR="00B86D45" w:rsidRDefault="00B86D45">
      <w:pPr>
        <w:pStyle w:val="Verzeichnis3"/>
        <w:tabs>
          <w:tab w:val="right" w:leader="dot" w:pos="9062"/>
        </w:tabs>
        <w:rPr>
          <w:rFonts w:asciiTheme="minorHAnsi" w:eastAsiaTheme="minorEastAsia" w:hAnsiTheme="minorHAnsi" w:cstheme="minorBidi"/>
          <w:iCs w:val="0"/>
          <w:noProof/>
          <w:kern w:val="2"/>
          <w:sz w:val="24"/>
          <w:szCs w:val="24"/>
          <w:lang w:val="de-CH" w:eastAsia="de-DE"/>
          <w14:ligatures w14:val="standardContextual"/>
        </w:rPr>
      </w:pPr>
      <w:hyperlink w:anchor="_Toc195609704" w:history="1">
        <w:r w:rsidRPr="00134E2E">
          <w:rPr>
            <w:rStyle w:val="Hyperlink"/>
            <w:noProof/>
          </w:rPr>
          <w:t>3.3.4 Ermessensspielraum und unbestimmte Rechtsbegriffe</w:t>
        </w:r>
        <w:r>
          <w:rPr>
            <w:noProof/>
            <w:webHidden/>
          </w:rPr>
          <w:tab/>
        </w:r>
        <w:r>
          <w:rPr>
            <w:noProof/>
            <w:webHidden/>
          </w:rPr>
          <w:fldChar w:fldCharType="begin"/>
        </w:r>
        <w:r>
          <w:rPr>
            <w:noProof/>
            <w:webHidden/>
          </w:rPr>
          <w:instrText xml:space="preserve"> PAGEREF _Toc195609704 \h </w:instrText>
        </w:r>
        <w:r>
          <w:rPr>
            <w:noProof/>
            <w:webHidden/>
          </w:rPr>
        </w:r>
        <w:r>
          <w:rPr>
            <w:noProof/>
            <w:webHidden/>
          </w:rPr>
          <w:fldChar w:fldCharType="separate"/>
        </w:r>
        <w:r w:rsidR="005B1AE0">
          <w:rPr>
            <w:noProof/>
            <w:webHidden/>
          </w:rPr>
          <w:t>18</w:t>
        </w:r>
        <w:r>
          <w:rPr>
            <w:noProof/>
            <w:webHidden/>
          </w:rPr>
          <w:fldChar w:fldCharType="end"/>
        </w:r>
      </w:hyperlink>
    </w:p>
    <w:p w14:paraId="3E265B07" w14:textId="5D979D61" w:rsidR="00B86D45" w:rsidRDefault="00B86D45">
      <w:pPr>
        <w:pStyle w:val="Verzeichnis3"/>
        <w:tabs>
          <w:tab w:val="right" w:leader="dot" w:pos="9062"/>
        </w:tabs>
        <w:rPr>
          <w:rFonts w:asciiTheme="minorHAnsi" w:eastAsiaTheme="minorEastAsia" w:hAnsiTheme="minorHAnsi" w:cstheme="minorBidi"/>
          <w:iCs w:val="0"/>
          <w:noProof/>
          <w:kern w:val="2"/>
          <w:sz w:val="24"/>
          <w:szCs w:val="24"/>
          <w:lang w:val="de-CH" w:eastAsia="de-DE"/>
          <w14:ligatures w14:val="standardContextual"/>
        </w:rPr>
      </w:pPr>
      <w:hyperlink w:anchor="_Toc195609705" w:history="1">
        <w:r w:rsidRPr="00134E2E">
          <w:rPr>
            <w:rStyle w:val="Hyperlink"/>
            <w:noProof/>
          </w:rPr>
          <w:t>3.3.5 Doppel- und Mehrfachbürger:innen und Aufenthaltsregelung</w:t>
        </w:r>
        <w:r>
          <w:rPr>
            <w:noProof/>
            <w:webHidden/>
          </w:rPr>
          <w:tab/>
        </w:r>
        <w:r>
          <w:rPr>
            <w:noProof/>
            <w:webHidden/>
          </w:rPr>
          <w:fldChar w:fldCharType="begin"/>
        </w:r>
        <w:r>
          <w:rPr>
            <w:noProof/>
            <w:webHidden/>
          </w:rPr>
          <w:instrText xml:space="preserve"> PAGEREF _Toc195609705 \h </w:instrText>
        </w:r>
        <w:r>
          <w:rPr>
            <w:noProof/>
            <w:webHidden/>
          </w:rPr>
        </w:r>
        <w:r>
          <w:rPr>
            <w:noProof/>
            <w:webHidden/>
          </w:rPr>
          <w:fldChar w:fldCharType="separate"/>
        </w:r>
        <w:r w:rsidR="005B1AE0">
          <w:rPr>
            <w:noProof/>
            <w:webHidden/>
          </w:rPr>
          <w:t>19</w:t>
        </w:r>
        <w:r>
          <w:rPr>
            <w:noProof/>
            <w:webHidden/>
          </w:rPr>
          <w:fldChar w:fldCharType="end"/>
        </w:r>
      </w:hyperlink>
    </w:p>
    <w:p w14:paraId="607EFA40" w14:textId="16393A77" w:rsidR="00B86D45" w:rsidRDefault="00B86D45">
      <w:pPr>
        <w:pStyle w:val="Verzeichnis3"/>
        <w:tabs>
          <w:tab w:val="right" w:leader="dot" w:pos="9062"/>
        </w:tabs>
        <w:rPr>
          <w:rFonts w:asciiTheme="minorHAnsi" w:eastAsiaTheme="minorEastAsia" w:hAnsiTheme="minorHAnsi" w:cstheme="minorBidi"/>
          <w:iCs w:val="0"/>
          <w:noProof/>
          <w:kern w:val="2"/>
          <w:sz w:val="24"/>
          <w:szCs w:val="24"/>
          <w:lang w:val="de-CH" w:eastAsia="de-DE"/>
          <w14:ligatures w14:val="standardContextual"/>
        </w:rPr>
      </w:pPr>
      <w:hyperlink w:anchor="_Toc195609706" w:history="1">
        <w:r w:rsidRPr="00134E2E">
          <w:rPr>
            <w:rStyle w:val="Hyperlink"/>
            <w:noProof/>
          </w:rPr>
          <w:t>3.3.6 Bürgerrechtsentzug und Familienangehörige</w:t>
        </w:r>
        <w:r>
          <w:rPr>
            <w:noProof/>
            <w:webHidden/>
          </w:rPr>
          <w:tab/>
        </w:r>
        <w:r>
          <w:rPr>
            <w:noProof/>
            <w:webHidden/>
          </w:rPr>
          <w:fldChar w:fldCharType="begin"/>
        </w:r>
        <w:r>
          <w:rPr>
            <w:noProof/>
            <w:webHidden/>
          </w:rPr>
          <w:instrText xml:space="preserve"> PAGEREF _Toc195609706 \h </w:instrText>
        </w:r>
        <w:r>
          <w:rPr>
            <w:noProof/>
            <w:webHidden/>
          </w:rPr>
        </w:r>
        <w:r>
          <w:rPr>
            <w:noProof/>
            <w:webHidden/>
          </w:rPr>
          <w:fldChar w:fldCharType="separate"/>
        </w:r>
        <w:r w:rsidR="005B1AE0">
          <w:rPr>
            <w:noProof/>
            <w:webHidden/>
          </w:rPr>
          <w:t>19</w:t>
        </w:r>
        <w:r>
          <w:rPr>
            <w:noProof/>
            <w:webHidden/>
          </w:rPr>
          <w:fldChar w:fldCharType="end"/>
        </w:r>
      </w:hyperlink>
    </w:p>
    <w:p w14:paraId="025359DF" w14:textId="7AFD0C0C" w:rsidR="00B86D45" w:rsidRDefault="00B86D45">
      <w:pPr>
        <w:pStyle w:val="Verzeichnis2"/>
        <w:tabs>
          <w:tab w:val="right" w:leader="dot" w:pos="9062"/>
        </w:tabs>
        <w:rPr>
          <w:rFonts w:asciiTheme="minorHAnsi" w:eastAsiaTheme="minorEastAsia" w:hAnsiTheme="minorHAnsi" w:cstheme="minorBidi"/>
          <w:noProof/>
          <w:kern w:val="2"/>
          <w:sz w:val="24"/>
          <w:szCs w:val="24"/>
          <w:lang w:val="de-CH" w:eastAsia="de-DE"/>
          <w14:ligatures w14:val="standardContextual"/>
        </w:rPr>
      </w:pPr>
      <w:hyperlink w:anchor="_Toc195609707" w:history="1">
        <w:r w:rsidRPr="00134E2E">
          <w:rPr>
            <w:rStyle w:val="Hyperlink"/>
            <w:noProof/>
          </w:rPr>
          <w:t>3.4 Zwischenfazit</w:t>
        </w:r>
        <w:r>
          <w:rPr>
            <w:noProof/>
            <w:webHidden/>
          </w:rPr>
          <w:tab/>
        </w:r>
        <w:r>
          <w:rPr>
            <w:noProof/>
            <w:webHidden/>
          </w:rPr>
          <w:fldChar w:fldCharType="begin"/>
        </w:r>
        <w:r>
          <w:rPr>
            <w:noProof/>
            <w:webHidden/>
          </w:rPr>
          <w:instrText xml:space="preserve"> PAGEREF _Toc195609707 \h </w:instrText>
        </w:r>
        <w:r>
          <w:rPr>
            <w:noProof/>
            <w:webHidden/>
          </w:rPr>
        </w:r>
        <w:r>
          <w:rPr>
            <w:noProof/>
            <w:webHidden/>
          </w:rPr>
          <w:fldChar w:fldCharType="separate"/>
        </w:r>
        <w:r w:rsidR="005B1AE0">
          <w:rPr>
            <w:noProof/>
            <w:webHidden/>
          </w:rPr>
          <w:t>20</w:t>
        </w:r>
        <w:r>
          <w:rPr>
            <w:noProof/>
            <w:webHidden/>
          </w:rPr>
          <w:fldChar w:fldCharType="end"/>
        </w:r>
      </w:hyperlink>
    </w:p>
    <w:p w14:paraId="52AB73B6" w14:textId="4217D97A" w:rsidR="00B86D45" w:rsidRDefault="00B86D45">
      <w:pPr>
        <w:pStyle w:val="Verzeichnis1"/>
        <w:tabs>
          <w:tab w:val="right" w:leader="dot" w:pos="9062"/>
        </w:tabs>
        <w:rPr>
          <w:rFonts w:asciiTheme="minorHAnsi" w:eastAsiaTheme="minorEastAsia" w:hAnsiTheme="minorHAnsi" w:cstheme="minorBidi"/>
          <w:bCs w:val="0"/>
          <w:noProof/>
          <w:kern w:val="2"/>
          <w:sz w:val="24"/>
          <w:szCs w:val="24"/>
          <w:lang w:eastAsia="de-DE"/>
        </w:rPr>
      </w:pPr>
      <w:hyperlink w:anchor="_Toc195609708" w:history="1">
        <w:r w:rsidRPr="00134E2E">
          <w:rPr>
            <w:rStyle w:val="Hyperlink"/>
            <w:noProof/>
          </w:rPr>
          <w:t>4 Bürgerrechtsentzug als Präventionsmaßnahme</w:t>
        </w:r>
        <w:r>
          <w:rPr>
            <w:noProof/>
            <w:webHidden/>
          </w:rPr>
          <w:tab/>
        </w:r>
        <w:r>
          <w:rPr>
            <w:noProof/>
            <w:webHidden/>
          </w:rPr>
          <w:fldChar w:fldCharType="begin"/>
        </w:r>
        <w:r>
          <w:rPr>
            <w:noProof/>
            <w:webHidden/>
          </w:rPr>
          <w:instrText xml:space="preserve"> PAGEREF _Toc195609708 \h </w:instrText>
        </w:r>
        <w:r>
          <w:rPr>
            <w:noProof/>
            <w:webHidden/>
          </w:rPr>
        </w:r>
        <w:r>
          <w:rPr>
            <w:noProof/>
            <w:webHidden/>
          </w:rPr>
          <w:fldChar w:fldCharType="separate"/>
        </w:r>
        <w:r w:rsidR="005B1AE0">
          <w:rPr>
            <w:noProof/>
            <w:webHidden/>
          </w:rPr>
          <w:t>21</w:t>
        </w:r>
        <w:r>
          <w:rPr>
            <w:noProof/>
            <w:webHidden/>
          </w:rPr>
          <w:fldChar w:fldCharType="end"/>
        </w:r>
      </w:hyperlink>
    </w:p>
    <w:p w14:paraId="1682F3B3" w14:textId="5C3555CC" w:rsidR="00B86D45" w:rsidRDefault="00B86D45">
      <w:pPr>
        <w:pStyle w:val="Verzeichnis2"/>
        <w:tabs>
          <w:tab w:val="right" w:leader="dot" w:pos="9062"/>
        </w:tabs>
        <w:rPr>
          <w:rFonts w:asciiTheme="minorHAnsi" w:eastAsiaTheme="minorEastAsia" w:hAnsiTheme="minorHAnsi" w:cstheme="minorBidi"/>
          <w:noProof/>
          <w:kern w:val="2"/>
          <w:sz w:val="24"/>
          <w:szCs w:val="24"/>
          <w:lang w:val="de-CH" w:eastAsia="de-DE"/>
          <w14:ligatures w14:val="standardContextual"/>
        </w:rPr>
      </w:pPr>
      <w:hyperlink w:anchor="_Toc195609709" w:history="1">
        <w:r w:rsidRPr="00134E2E">
          <w:rPr>
            <w:rStyle w:val="Hyperlink"/>
            <w:noProof/>
          </w:rPr>
          <w:t>4.1 Einführung</w:t>
        </w:r>
        <w:r>
          <w:rPr>
            <w:noProof/>
            <w:webHidden/>
          </w:rPr>
          <w:tab/>
        </w:r>
        <w:r>
          <w:rPr>
            <w:noProof/>
            <w:webHidden/>
          </w:rPr>
          <w:fldChar w:fldCharType="begin"/>
        </w:r>
        <w:r>
          <w:rPr>
            <w:noProof/>
            <w:webHidden/>
          </w:rPr>
          <w:instrText xml:space="preserve"> PAGEREF _Toc195609709 \h </w:instrText>
        </w:r>
        <w:r>
          <w:rPr>
            <w:noProof/>
            <w:webHidden/>
          </w:rPr>
        </w:r>
        <w:r>
          <w:rPr>
            <w:noProof/>
            <w:webHidden/>
          </w:rPr>
          <w:fldChar w:fldCharType="separate"/>
        </w:r>
        <w:r w:rsidR="005B1AE0">
          <w:rPr>
            <w:noProof/>
            <w:webHidden/>
          </w:rPr>
          <w:t>21</w:t>
        </w:r>
        <w:r>
          <w:rPr>
            <w:noProof/>
            <w:webHidden/>
          </w:rPr>
          <w:fldChar w:fldCharType="end"/>
        </w:r>
      </w:hyperlink>
    </w:p>
    <w:p w14:paraId="38CBD7B2" w14:textId="46F9104F" w:rsidR="00B86D45" w:rsidRDefault="00B86D45">
      <w:pPr>
        <w:pStyle w:val="Verzeichnis2"/>
        <w:tabs>
          <w:tab w:val="right" w:leader="dot" w:pos="9062"/>
        </w:tabs>
        <w:rPr>
          <w:rFonts w:asciiTheme="minorHAnsi" w:eastAsiaTheme="minorEastAsia" w:hAnsiTheme="minorHAnsi" w:cstheme="minorBidi"/>
          <w:noProof/>
          <w:kern w:val="2"/>
          <w:sz w:val="24"/>
          <w:szCs w:val="24"/>
          <w:lang w:val="de-CH" w:eastAsia="de-DE"/>
          <w14:ligatures w14:val="standardContextual"/>
        </w:rPr>
      </w:pPr>
      <w:hyperlink w:anchor="_Toc195609710" w:history="1">
        <w:r w:rsidRPr="00134E2E">
          <w:rPr>
            <w:rStyle w:val="Hyperlink"/>
            <w:noProof/>
          </w:rPr>
          <w:t>4.2 Zum Präventionsbegriff</w:t>
        </w:r>
        <w:r>
          <w:rPr>
            <w:noProof/>
            <w:webHidden/>
          </w:rPr>
          <w:tab/>
        </w:r>
        <w:r>
          <w:rPr>
            <w:noProof/>
            <w:webHidden/>
          </w:rPr>
          <w:fldChar w:fldCharType="begin"/>
        </w:r>
        <w:r>
          <w:rPr>
            <w:noProof/>
            <w:webHidden/>
          </w:rPr>
          <w:instrText xml:space="preserve"> PAGEREF _Toc195609710 \h </w:instrText>
        </w:r>
        <w:r>
          <w:rPr>
            <w:noProof/>
            <w:webHidden/>
          </w:rPr>
        </w:r>
        <w:r>
          <w:rPr>
            <w:noProof/>
            <w:webHidden/>
          </w:rPr>
          <w:fldChar w:fldCharType="separate"/>
        </w:r>
        <w:r w:rsidR="005B1AE0">
          <w:rPr>
            <w:noProof/>
            <w:webHidden/>
          </w:rPr>
          <w:t>22</w:t>
        </w:r>
        <w:r>
          <w:rPr>
            <w:noProof/>
            <w:webHidden/>
          </w:rPr>
          <w:fldChar w:fldCharType="end"/>
        </w:r>
      </w:hyperlink>
    </w:p>
    <w:p w14:paraId="7F1E8DF1" w14:textId="397BA502" w:rsidR="00B86D45" w:rsidRDefault="00B86D45">
      <w:pPr>
        <w:pStyle w:val="Verzeichnis2"/>
        <w:tabs>
          <w:tab w:val="right" w:leader="dot" w:pos="9062"/>
        </w:tabs>
        <w:rPr>
          <w:rFonts w:asciiTheme="minorHAnsi" w:eastAsiaTheme="minorEastAsia" w:hAnsiTheme="minorHAnsi" w:cstheme="minorBidi"/>
          <w:noProof/>
          <w:kern w:val="2"/>
          <w:sz w:val="24"/>
          <w:szCs w:val="24"/>
          <w:lang w:val="de-CH" w:eastAsia="de-DE"/>
          <w14:ligatures w14:val="standardContextual"/>
        </w:rPr>
      </w:pPr>
      <w:hyperlink w:anchor="_Toc195609711" w:history="1">
        <w:r w:rsidRPr="00134E2E">
          <w:rPr>
            <w:rStyle w:val="Hyperlink"/>
            <w:noProof/>
          </w:rPr>
          <w:t xml:space="preserve">4.3 Exkurs: Kämpfer:innen im sog. </w:t>
        </w:r>
        <w:r w:rsidRPr="00134E2E">
          <w:rPr>
            <w:rStyle w:val="Hyperlink"/>
            <w:i/>
            <w:iCs/>
            <w:noProof/>
          </w:rPr>
          <w:t>Islamischen Staat</w:t>
        </w:r>
        <w:r>
          <w:rPr>
            <w:noProof/>
            <w:webHidden/>
          </w:rPr>
          <w:tab/>
        </w:r>
        <w:r>
          <w:rPr>
            <w:noProof/>
            <w:webHidden/>
          </w:rPr>
          <w:fldChar w:fldCharType="begin"/>
        </w:r>
        <w:r>
          <w:rPr>
            <w:noProof/>
            <w:webHidden/>
          </w:rPr>
          <w:instrText xml:space="preserve"> PAGEREF _Toc195609711 \h </w:instrText>
        </w:r>
        <w:r>
          <w:rPr>
            <w:noProof/>
            <w:webHidden/>
          </w:rPr>
        </w:r>
        <w:r>
          <w:rPr>
            <w:noProof/>
            <w:webHidden/>
          </w:rPr>
          <w:fldChar w:fldCharType="separate"/>
        </w:r>
        <w:r w:rsidR="005B1AE0">
          <w:rPr>
            <w:noProof/>
            <w:webHidden/>
          </w:rPr>
          <w:t>23</w:t>
        </w:r>
        <w:r>
          <w:rPr>
            <w:noProof/>
            <w:webHidden/>
          </w:rPr>
          <w:fldChar w:fldCharType="end"/>
        </w:r>
      </w:hyperlink>
    </w:p>
    <w:p w14:paraId="5238654A" w14:textId="3F6FF61D" w:rsidR="00B86D45" w:rsidRDefault="00B86D45">
      <w:pPr>
        <w:pStyle w:val="Verzeichnis2"/>
        <w:tabs>
          <w:tab w:val="right" w:leader="dot" w:pos="9062"/>
        </w:tabs>
        <w:rPr>
          <w:rFonts w:asciiTheme="minorHAnsi" w:eastAsiaTheme="minorEastAsia" w:hAnsiTheme="minorHAnsi" w:cstheme="minorBidi"/>
          <w:noProof/>
          <w:kern w:val="2"/>
          <w:sz w:val="24"/>
          <w:szCs w:val="24"/>
          <w:lang w:val="de-CH" w:eastAsia="de-DE"/>
          <w14:ligatures w14:val="standardContextual"/>
        </w:rPr>
      </w:pPr>
      <w:hyperlink w:anchor="_Toc195609712" w:history="1">
        <w:r w:rsidRPr="00134E2E">
          <w:rPr>
            <w:rStyle w:val="Hyperlink"/>
            <w:noProof/>
          </w:rPr>
          <w:t>4.4 Präventive Wirkung des Bürgerrechtsentzugs</w:t>
        </w:r>
        <w:r>
          <w:rPr>
            <w:noProof/>
            <w:webHidden/>
          </w:rPr>
          <w:tab/>
        </w:r>
        <w:r>
          <w:rPr>
            <w:noProof/>
            <w:webHidden/>
          </w:rPr>
          <w:fldChar w:fldCharType="begin"/>
        </w:r>
        <w:r>
          <w:rPr>
            <w:noProof/>
            <w:webHidden/>
          </w:rPr>
          <w:instrText xml:space="preserve"> PAGEREF _Toc195609712 \h </w:instrText>
        </w:r>
        <w:r>
          <w:rPr>
            <w:noProof/>
            <w:webHidden/>
          </w:rPr>
        </w:r>
        <w:r>
          <w:rPr>
            <w:noProof/>
            <w:webHidden/>
          </w:rPr>
          <w:fldChar w:fldCharType="separate"/>
        </w:r>
        <w:r w:rsidR="005B1AE0">
          <w:rPr>
            <w:noProof/>
            <w:webHidden/>
          </w:rPr>
          <w:t>24</w:t>
        </w:r>
        <w:r>
          <w:rPr>
            <w:noProof/>
            <w:webHidden/>
          </w:rPr>
          <w:fldChar w:fldCharType="end"/>
        </w:r>
      </w:hyperlink>
    </w:p>
    <w:p w14:paraId="5892A2C5" w14:textId="211198E8" w:rsidR="00B86D45" w:rsidRDefault="00B86D45">
      <w:pPr>
        <w:pStyle w:val="Verzeichnis2"/>
        <w:tabs>
          <w:tab w:val="right" w:leader="dot" w:pos="9062"/>
        </w:tabs>
        <w:rPr>
          <w:rFonts w:asciiTheme="minorHAnsi" w:eastAsiaTheme="minorEastAsia" w:hAnsiTheme="minorHAnsi" w:cstheme="minorBidi"/>
          <w:noProof/>
          <w:kern w:val="2"/>
          <w:sz w:val="24"/>
          <w:szCs w:val="24"/>
          <w:lang w:val="de-CH" w:eastAsia="de-DE"/>
          <w14:ligatures w14:val="standardContextual"/>
        </w:rPr>
      </w:pPr>
      <w:hyperlink w:anchor="_Toc195609713" w:history="1">
        <w:r w:rsidRPr="00134E2E">
          <w:rPr>
            <w:rStyle w:val="Hyperlink"/>
            <w:noProof/>
          </w:rPr>
          <w:t>4.5 Würdigung des Bürgerrechtsentzugs aus Präventionsperspektive</w:t>
        </w:r>
        <w:r>
          <w:rPr>
            <w:noProof/>
            <w:webHidden/>
          </w:rPr>
          <w:tab/>
        </w:r>
        <w:r>
          <w:rPr>
            <w:noProof/>
            <w:webHidden/>
          </w:rPr>
          <w:fldChar w:fldCharType="begin"/>
        </w:r>
        <w:r>
          <w:rPr>
            <w:noProof/>
            <w:webHidden/>
          </w:rPr>
          <w:instrText xml:space="preserve"> PAGEREF _Toc195609713 \h </w:instrText>
        </w:r>
        <w:r>
          <w:rPr>
            <w:noProof/>
            <w:webHidden/>
          </w:rPr>
        </w:r>
        <w:r>
          <w:rPr>
            <w:noProof/>
            <w:webHidden/>
          </w:rPr>
          <w:fldChar w:fldCharType="separate"/>
        </w:r>
        <w:r w:rsidR="005B1AE0">
          <w:rPr>
            <w:noProof/>
            <w:webHidden/>
          </w:rPr>
          <w:t>24</w:t>
        </w:r>
        <w:r>
          <w:rPr>
            <w:noProof/>
            <w:webHidden/>
          </w:rPr>
          <w:fldChar w:fldCharType="end"/>
        </w:r>
      </w:hyperlink>
    </w:p>
    <w:p w14:paraId="0C7B4612" w14:textId="45ED5058" w:rsidR="00B86D45" w:rsidRDefault="00B86D45">
      <w:pPr>
        <w:pStyle w:val="Verzeichnis3"/>
        <w:tabs>
          <w:tab w:val="right" w:leader="dot" w:pos="9062"/>
        </w:tabs>
        <w:rPr>
          <w:rFonts w:asciiTheme="minorHAnsi" w:eastAsiaTheme="minorEastAsia" w:hAnsiTheme="minorHAnsi" w:cstheme="minorBidi"/>
          <w:iCs w:val="0"/>
          <w:noProof/>
          <w:kern w:val="2"/>
          <w:sz w:val="24"/>
          <w:szCs w:val="24"/>
          <w:lang w:val="de-CH" w:eastAsia="de-DE"/>
          <w14:ligatures w14:val="standardContextual"/>
        </w:rPr>
      </w:pPr>
      <w:hyperlink w:anchor="_Toc195609714" w:history="1">
        <w:r w:rsidRPr="00134E2E">
          <w:rPr>
            <w:rStyle w:val="Hyperlink"/>
            <w:noProof/>
          </w:rPr>
          <w:t>4.5.1 Einführung</w:t>
        </w:r>
        <w:r>
          <w:rPr>
            <w:noProof/>
            <w:webHidden/>
          </w:rPr>
          <w:tab/>
        </w:r>
        <w:r>
          <w:rPr>
            <w:noProof/>
            <w:webHidden/>
          </w:rPr>
          <w:fldChar w:fldCharType="begin"/>
        </w:r>
        <w:r>
          <w:rPr>
            <w:noProof/>
            <w:webHidden/>
          </w:rPr>
          <w:instrText xml:space="preserve"> PAGEREF _Toc195609714 \h </w:instrText>
        </w:r>
        <w:r>
          <w:rPr>
            <w:noProof/>
            <w:webHidden/>
          </w:rPr>
        </w:r>
        <w:r>
          <w:rPr>
            <w:noProof/>
            <w:webHidden/>
          </w:rPr>
          <w:fldChar w:fldCharType="separate"/>
        </w:r>
        <w:r w:rsidR="005B1AE0">
          <w:rPr>
            <w:noProof/>
            <w:webHidden/>
          </w:rPr>
          <w:t>24</w:t>
        </w:r>
        <w:r>
          <w:rPr>
            <w:noProof/>
            <w:webHidden/>
          </w:rPr>
          <w:fldChar w:fldCharType="end"/>
        </w:r>
      </w:hyperlink>
    </w:p>
    <w:p w14:paraId="703BE698" w14:textId="523A80CA" w:rsidR="00B86D45" w:rsidRDefault="00B86D45">
      <w:pPr>
        <w:pStyle w:val="Verzeichnis3"/>
        <w:tabs>
          <w:tab w:val="right" w:leader="dot" w:pos="9062"/>
        </w:tabs>
        <w:rPr>
          <w:rFonts w:asciiTheme="minorHAnsi" w:eastAsiaTheme="minorEastAsia" w:hAnsiTheme="minorHAnsi" w:cstheme="minorBidi"/>
          <w:iCs w:val="0"/>
          <w:noProof/>
          <w:kern w:val="2"/>
          <w:sz w:val="24"/>
          <w:szCs w:val="24"/>
          <w:lang w:val="de-CH" w:eastAsia="de-DE"/>
          <w14:ligatures w14:val="standardContextual"/>
        </w:rPr>
      </w:pPr>
      <w:hyperlink w:anchor="_Toc195609715" w:history="1">
        <w:r w:rsidRPr="00134E2E">
          <w:rPr>
            <w:rStyle w:val="Hyperlink"/>
            <w:noProof/>
          </w:rPr>
          <w:t>4.5.2 Gefühlte Diskriminierung und Radikalisierung</w:t>
        </w:r>
        <w:r>
          <w:rPr>
            <w:noProof/>
            <w:webHidden/>
          </w:rPr>
          <w:tab/>
        </w:r>
        <w:r>
          <w:rPr>
            <w:noProof/>
            <w:webHidden/>
          </w:rPr>
          <w:fldChar w:fldCharType="begin"/>
        </w:r>
        <w:r>
          <w:rPr>
            <w:noProof/>
            <w:webHidden/>
          </w:rPr>
          <w:instrText xml:space="preserve"> PAGEREF _Toc195609715 \h </w:instrText>
        </w:r>
        <w:r>
          <w:rPr>
            <w:noProof/>
            <w:webHidden/>
          </w:rPr>
        </w:r>
        <w:r>
          <w:rPr>
            <w:noProof/>
            <w:webHidden/>
          </w:rPr>
          <w:fldChar w:fldCharType="separate"/>
        </w:r>
        <w:r w:rsidR="005B1AE0">
          <w:rPr>
            <w:noProof/>
            <w:webHidden/>
          </w:rPr>
          <w:t>25</w:t>
        </w:r>
        <w:r>
          <w:rPr>
            <w:noProof/>
            <w:webHidden/>
          </w:rPr>
          <w:fldChar w:fldCharType="end"/>
        </w:r>
      </w:hyperlink>
    </w:p>
    <w:p w14:paraId="450A4F0D" w14:textId="1E2F56DA" w:rsidR="00B86D45" w:rsidRDefault="00B86D45">
      <w:pPr>
        <w:pStyle w:val="Verzeichnis3"/>
        <w:tabs>
          <w:tab w:val="right" w:leader="dot" w:pos="9062"/>
        </w:tabs>
        <w:rPr>
          <w:rFonts w:asciiTheme="minorHAnsi" w:eastAsiaTheme="minorEastAsia" w:hAnsiTheme="minorHAnsi" w:cstheme="minorBidi"/>
          <w:iCs w:val="0"/>
          <w:noProof/>
          <w:kern w:val="2"/>
          <w:sz w:val="24"/>
          <w:szCs w:val="24"/>
          <w:lang w:val="de-CH" w:eastAsia="de-DE"/>
          <w14:ligatures w14:val="standardContextual"/>
        </w:rPr>
      </w:pPr>
      <w:hyperlink w:anchor="_Toc195609716" w:history="1">
        <w:r w:rsidRPr="00134E2E">
          <w:rPr>
            <w:rStyle w:val="Hyperlink"/>
            <w:noProof/>
          </w:rPr>
          <w:t>4.5.3 Spannungsfeld Sicherheitsmassnahmen und Präventionsgrundsätze</w:t>
        </w:r>
        <w:r>
          <w:rPr>
            <w:noProof/>
            <w:webHidden/>
          </w:rPr>
          <w:tab/>
        </w:r>
        <w:r>
          <w:rPr>
            <w:noProof/>
            <w:webHidden/>
          </w:rPr>
          <w:fldChar w:fldCharType="begin"/>
        </w:r>
        <w:r>
          <w:rPr>
            <w:noProof/>
            <w:webHidden/>
          </w:rPr>
          <w:instrText xml:space="preserve"> PAGEREF _Toc195609716 \h </w:instrText>
        </w:r>
        <w:r>
          <w:rPr>
            <w:noProof/>
            <w:webHidden/>
          </w:rPr>
        </w:r>
        <w:r>
          <w:rPr>
            <w:noProof/>
            <w:webHidden/>
          </w:rPr>
          <w:fldChar w:fldCharType="separate"/>
        </w:r>
        <w:r w:rsidR="005B1AE0">
          <w:rPr>
            <w:noProof/>
            <w:webHidden/>
          </w:rPr>
          <w:t>25</w:t>
        </w:r>
        <w:r>
          <w:rPr>
            <w:noProof/>
            <w:webHidden/>
          </w:rPr>
          <w:fldChar w:fldCharType="end"/>
        </w:r>
      </w:hyperlink>
    </w:p>
    <w:p w14:paraId="37878CE6" w14:textId="4A38323E" w:rsidR="00B86D45" w:rsidRDefault="00B86D45">
      <w:pPr>
        <w:pStyle w:val="Verzeichnis3"/>
        <w:tabs>
          <w:tab w:val="right" w:leader="dot" w:pos="9062"/>
        </w:tabs>
        <w:rPr>
          <w:rFonts w:asciiTheme="minorHAnsi" w:eastAsiaTheme="minorEastAsia" w:hAnsiTheme="minorHAnsi" w:cstheme="minorBidi"/>
          <w:iCs w:val="0"/>
          <w:noProof/>
          <w:kern w:val="2"/>
          <w:sz w:val="24"/>
          <w:szCs w:val="24"/>
          <w:lang w:val="de-CH" w:eastAsia="de-DE"/>
          <w14:ligatures w14:val="standardContextual"/>
        </w:rPr>
      </w:pPr>
      <w:hyperlink w:anchor="_Toc195609717" w:history="1">
        <w:r w:rsidRPr="00134E2E">
          <w:rPr>
            <w:rStyle w:val="Hyperlink"/>
            <w:noProof/>
          </w:rPr>
          <w:t>4.5.4 Prekärer Status nach Bürgerrechtsentzug</w:t>
        </w:r>
        <w:r>
          <w:rPr>
            <w:noProof/>
            <w:webHidden/>
          </w:rPr>
          <w:tab/>
        </w:r>
        <w:r>
          <w:rPr>
            <w:noProof/>
            <w:webHidden/>
          </w:rPr>
          <w:fldChar w:fldCharType="begin"/>
        </w:r>
        <w:r>
          <w:rPr>
            <w:noProof/>
            <w:webHidden/>
          </w:rPr>
          <w:instrText xml:space="preserve"> PAGEREF _Toc195609717 \h </w:instrText>
        </w:r>
        <w:r>
          <w:rPr>
            <w:noProof/>
            <w:webHidden/>
          </w:rPr>
        </w:r>
        <w:r>
          <w:rPr>
            <w:noProof/>
            <w:webHidden/>
          </w:rPr>
          <w:fldChar w:fldCharType="separate"/>
        </w:r>
        <w:r w:rsidR="005B1AE0">
          <w:rPr>
            <w:noProof/>
            <w:webHidden/>
          </w:rPr>
          <w:t>26</w:t>
        </w:r>
        <w:r>
          <w:rPr>
            <w:noProof/>
            <w:webHidden/>
          </w:rPr>
          <w:fldChar w:fldCharType="end"/>
        </w:r>
      </w:hyperlink>
    </w:p>
    <w:p w14:paraId="663531F6" w14:textId="2D930FD3" w:rsidR="00B86D45" w:rsidRDefault="00B86D45">
      <w:pPr>
        <w:pStyle w:val="Verzeichnis3"/>
        <w:tabs>
          <w:tab w:val="right" w:leader="dot" w:pos="9062"/>
        </w:tabs>
        <w:rPr>
          <w:rFonts w:asciiTheme="minorHAnsi" w:eastAsiaTheme="minorEastAsia" w:hAnsiTheme="minorHAnsi" w:cstheme="minorBidi"/>
          <w:iCs w:val="0"/>
          <w:noProof/>
          <w:kern w:val="2"/>
          <w:sz w:val="24"/>
          <w:szCs w:val="24"/>
          <w:lang w:val="de-CH" w:eastAsia="de-DE"/>
          <w14:ligatures w14:val="standardContextual"/>
        </w:rPr>
      </w:pPr>
      <w:hyperlink w:anchor="_Toc195609718" w:history="1">
        <w:r w:rsidRPr="00134E2E">
          <w:rPr>
            <w:rStyle w:val="Hyperlink"/>
            <w:noProof/>
          </w:rPr>
          <w:t>4.5.5 Verantwortung der Staatengemeinschaft</w:t>
        </w:r>
        <w:r>
          <w:rPr>
            <w:noProof/>
            <w:webHidden/>
          </w:rPr>
          <w:tab/>
        </w:r>
        <w:r>
          <w:rPr>
            <w:noProof/>
            <w:webHidden/>
          </w:rPr>
          <w:fldChar w:fldCharType="begin"/>
        </w:r>
        <w:r>
          <w:rPr>
            <w:noProof/>
            <w:webHidden/>
          </w:rPr>
          <w:instrText xml:space="preserve"> PAGEREF _Toc195609718 \h </w:instrText>
        </w:r>
        <w:r>
          <w:rPr>
            <w:noProof/>
            <w:webHidden/>
          </w:rPr>
        </w:r>
        <w:r>
          <w:rPr>
            <w:noProof/>
            <w:webHidden/>
          </w:rPr>
          <w:fldChar w:fldCharType="separate"/>
        </w:r>
        <w:r w:rsidR="005B1AE0">
          <w:rPr>
            <w:noProof/>
            <w:webHidden/>
          </w:rPr>
          <w:t>26</w:t>
        </w:r>
        <w:r>
          <w:rPr>
            <w:noProof/>
            <w:webHidden/>
          </w:rPr>
          <w:fldChar w:fldCharType="end"/>
        </w:r>
      </w:hyperlink>
    </w:p>
    <w:p w14:paraId="21CAA57A" w14:textId="6AD9F370" w:rsidR="00B86D45" w:rsidRDefault="00B86D45">
      <w:pPr>
        <w:pStyle w:val="Verzeichnis3"/>
        <w:tabs>
          <w:tab w:val="right" w:leader="dot" w:pos="9062"/>
        </w:tabs>
        <w:rPr>
          <w:rFonts w:asciiTheme="minorHAnsi" w:eastAsiaTheme="minorEastAsia" w:hAnsiTheme="minorHAnsi" w:cstheme="minorBidi"/>
          <w:iCs w:val="0"/>
          <w:noProof/>
          <w:kern w:val="2"/>
          <w:sz w:val="24"/>
          <w:szCs w:val="24"/>
          <w:lang w:val="de-CH" w:eastAsia="de-DE"/>
          <w14:ligatures w14:val="standardContextual"/>
        </w:rPr>
      </w:pPr>
      <w:hyperlink w:anchor="_Toc195609719" w:history="1">
        <w:r w:rsidRPr="00134E2E">
          <w:rPr>
            <w:rStyle w:val="Hyperlink"/>
            <w:noProof/>
          </w:rPr>
          <w:t>4.5.6 Zwischenfazit</w:t>
        </w:r>
        <w:r>
          <w:rPr>
            <w:noProof/>
            <w:webHidden/>
          </w:rPr>
          <w:tab/>
        </w:r>
        <w:r>
          <w:rPr>
            <w:noProof/>
            <w:webHidden/>
          </w:rPr>
          <w:fldChar w:fldCharType="begin"/>
        </w:r>
        <w:r>
          <w:rPr>
            <w:noProof/>
            <w:webHidden/>
          </w:rPr>
          <w:instrText xml:space="preserve"> PAGEREF _Toc195609719 \h </w:instrText>
        </w:r>
        <w:r>
          <w:rPr>
            <w:noProof/>
            <w:webHidden/>
          </w:rPr>
        </w:r>
        <w:r>
          <w:rPr>
            <w:noProof/>
            <w:webHidden/>
          </w:rPr>
          <w:fldChar w:fldCharType="separate"/>
        </w:r>
        <w:r w:rsidR="005B1AE0">
          <w:rPr>
            <w:noProof/>
            <w:webHidden/>
          </w:rPr>
          <w:t>28</w:t>
        </w:r>
        <w:r>
          <w:rPr>
            <w:noProof/>
            <w:webHidden/>
          </w:rPr>
          <w:fldChar w:fldCharType="end"/>
        </w:r>
      </w:hyperlink>
    </w:p>
    <w:p w14:paraId="763AFD81" w14:textId="31CEDF61" w:rsidR="00B86D45" w:rsidRDefault="00B86D45">
      <w:pPr>
        <w:pStyle w:val="Verzeichnis2"/>
        <w:tabs>
          <w:tab w:val="right" w:leader="dot" w:pos="9062"/>
        </w:tabs>
        <w:rPr>
          <w:rFonts w:asciiTheme="minorHAnsi" w:eastAsiaTheme="minorEastAsia" w:hAnsiTheme="minorHAnsi" w:cstheme="minorBidi"/>
          <w:noProof/>
          <w:kern w:val="2"/>
          <w:sz w:val="24"/>
          <w:szCs w:val="24"/>
          <w:lang w:val="de-CH" w:eastAsia="de-DE"/>
          <w14:ligatures w14:val="standardContextual"/>
        </w:rPr>
      </w:pPr>
      <w:hyperlink w:anchor="_Toc195609720" w:history="1">
        <w:r w:rsidRPr="00134E2E">
          <w:rPr>
            <w:rStyle w:val="Hyperlink"/>
            <w:noProof/>
          </w:rPr>
          <w:t>4.6 Alternativen zum Bürgerrechtsentzug</w:t>
        </w:r>
        <w:r>
          <w:rPr>
            <w:noProof/>
            <w:webHidden/>
          </w:rPr>
          <w:tab/>
        </w:r>
        <w:r>
          <w:rPr>
            <w:noProof/>
            <w:webHidden/>
          </w:rPr>
          <w:fldChar w:fldCharType="begin"/>
        </w:r>
        <w:r>
          <w:rPr>
            <w:noProof/>
            <w:webHidden/>
          </w:rPr>
          <w:instrText xml:space="preserve"> PAGEREF _Toc195609720 \h </w:instrText>
        </w:r>
        <w:r>
          <w:rPr>
            <w:noProof/>
            <w:webHidden/>
          </w:rPr>
        </w:r>
        <w:r>
          <w:rPr>
            <w:noProof/>
            <w:webHidden/>
          </w:rPr>
          <w:fldChar w:fldCharType="separate"/>
        </w:r>
        <w:r w:rsidR="005B1AE0">
          <w:rPr>
            <w:noProof/>
            <w:webHidden/>
          </w:rPr>
          <w:t>28</w:t>
        </w:r>
        <w:r>
          <w:rPr>
            <w:noProof/>
            <w:webHidden/>
          </w:rPr>
          <w:fldChar w:fldCharType="end"/>
        </w:r>
      </w:hyperlink>
    </w:p>
    <w:p w14:paraId="501C22F1" w14:textId="0CB789B8" w:rsidR="00B86D45" w:rsidRDefault="00B86D45">
      <w:pPr>
        <w:pStyle w:val="Verzeichnis1"/>
        <w:tabs>
          <w:tab w:val="right" w:leader="dot" w:pos="9062"/>
        </w:tabs>
        <w:rPr>
          <w:rFonts w:asciiTheme="minorHAnsi" w:eastAsiaTheme="minorEastAsia" w:hAnsiTheme="minorHAnsi" w:cstheme="minorBidi"/>
          <w:bCs w:val="0"/>
          <w:noProof/>
          <w:kern w:val="2"/>
          <w:sz w:val="24"/>
          <w:szCs w:val="24"/>
          <w:lang w:eastAsia="de-DE"/>
        </w:rPr>
      </w:pPr>
      <w:hyperlink w:anchor="_Toc195609721" w:history="1">
        <w:r w:rsidRPr="00134E2E">
          <w:rPr>
            <w:rStyle w:val="Hyperlink"/>
            <w:noProof/>
          </w:rPr>
          <w:t>5. Schlussbetrachtung</w:t>
        </w:r>
        <w:r>
          <w:rPr>
            <w:noProof/>
            <w:webHidden/>
          </w:rPr>
          <w:tab/>
        </w:r>
        <w:r>
          <w:rPr>
            <w:noProof/>
            <w:webHidden/>
          </w:rPr>
          <w:fldChar w:fldCharType="begin"/>
        </w:r>
        <w:r>
          <w:rPr>
            <w:noProof/>
            <w:webHidden/>
          </w:rPr>
          <w:instrText xml:space="preserve"> PAGEREF _Toc195609721 \h </w:instrText>
        </w:r>
        <w:r>
          <w:rPr>
            <w:noProof/>
            <w:webHidden/>
          </w:rPr>
        </w:r>
        <w:r>
          <w:rPr>
            <w:noProof/>
            <w:webHidden/>
          </w:rPr>
          <w:fldChar w:fldCharType="separate"/>
        </w:r>
        <w:r w:rsidR="005B1AE0">
          <w:rPr>
            <w:noProof/>
            <w:webHidden/>
          </w:rPr>
          <w:t>30</w:t>
        </w:r>
        <w:r>
          <w:rPr>
            <w:noProof/>
            <w:webHidden/>
          </w:rPr>
          <w:fldChar w:fldCharType="end"/>
        </w:r>
      </w:hyperlink>
    </w:p>
    <w:p w14:paraId="14E0ADF3" w14:textId="627552BD" w:rsidR="00C3232F" w:rsidRDefault="00003077">
      <w:pPr>
        <w:rPr>
          <w:rFonts w:cstheme="minorHAnsi"/>
          <w:bCs/>
          <w:sz w:val="32"/>
          <w:szCs w:val="32"/>
        </w:rPr>
      </w:pPr>
      <w:r>
        <w:rPr>
          <w:rFonts w:ascii="Calibri" w:hAnsi="Calibri" w:cstheme="minorHAnsi"/>
          <w:b/>
          <w:caps/>
          <w:spacing w:val="-10"/>
          <w:kern w:val="28"/>
          <w:sz w:val="32"/>
          <w:szCs w:val="32"/>
          <w:lang w:val="de-CH"/>
          <w14:ligatures w14:val="standardContextual"/>
        </w:rPr>
        <w:fldChar w:fldCharType="end"/>
      </w:r>
    </w:p>
    <w:p w14:paraId="41358261" w14:textId="77777777" w:rsidR="006617A3" w:rsidRDefault="006617A3">
      <w:pPr>
        <w:rPr>
          <w:rFonts w:ascii="Calibri" w:eastAsia="Calibri" w:hAnsi="Calibri" w:cs="Times New Roman"/>
          <w:color w:val="016D72"/>
          <w:sz w:val="32"/>
          <w:szCs w:val="32"/>
        </w:rPr>
      </w:pPr>
      <w:bookmarkStart w:id="0" w:name="_Toc195609689"/>
      <w:r>
        <w:br w:type="page"/>
      </w:r>
    </w:p>
    <w:p w14:paraId="04D28FD2" w14:textId="08D07C19" w:rsidR="003C268C" w:rsidRPr="002C006E" w:rsidRDefault="005F4735" w:rsidP="002C006E">
      <w:pPr>
        <w:pStyle w:val="1Ebene"/>
      </w:pPr>
      <w:r w:rsidRPr="002C006E">
        <w:lastRenderedPageBreak/>
        <w:t xml:space="preserve">1. </w:t>
      </w:r>
      <w:r w:rsidR="006B0849" w:rsidRPr="002C006E">
        <w:t>Einleitung</w:t>
      </w:r>
      <w:bookmarkEnd w:id="0"/>
      <w:r w:rsidR="006B0849" w:rsidRPr="002C006E">
        <w:t xml:space="preserve"> </w:t>
      </w:r>
    </w:p>
    <w:p w14:paraId="1CE42968" w14:textId="6710D21B" w:rsidR="003C268C" w:rsidRPr="0046220B" w:rsidRDefault="003C268C" w:rsidP="003C268C">
      <w:pPr>
        <w:spacing w:before="120" w:line="276" w:lineRule="auto"/>
        <w:jc w:val="both"/>
        <w:rPr>
          <w:rFonts w:eastAsia="Times New Roman" w:cstheme="minorHAnsi"/>
          <w:color w:val="000000" w:themeColor="text1"/>
          <w:szCs w:val="20"/>
          <w:lang w:eastAsia="de-DE"/>
        </w:rPr>
      </w:pPr>
      <w:r w:rsidRPr="0046220B">
        <w:rPr>
          <w:rFonts w:eastAsia="Times New Roman" w:cstheme="minorHAnsi"/>
          <w:color w:val="000000" w:themeColor="text1"/>
          <w:szCs w:val="20"/>
          <w:lang w:eastAsia="de-DE"/>
        </w:rPr>
        <w:t xml:space="preserve">Lebendige Diskussionen zum adäquaten Umgang mit </w:t>
      </w:r>
      <w:proofErr w:type="gramStart"/>
      <w:r w:rsidRPr="0046220B">
        <w:rPr>
          <w:rFonts w:eastAsia="Times New Roman" w:cstheme="minorHAnsi"/>
          <w:color w:val="000000" w:themeColor="text1"/>
          <w:szCs w:val="20"/>
          <w:lang w:eastAsia="de-DE"/>
        </w:rPr>
        <w:t>Gefährder:innen</w:t>
      </w:r>
      <w:proofErr w:type="gramEnd"/>
      <w:r w:rsidRPr="0046220B">
        <w:rPr>
          <w:rFonts w:eastAsia="Times New Roman" w:cstheme="minorHAnsi"/>
          <w:color w:val="000000" w:themeColor="text1"/>
          <w:szCs w:val="20"/>
          <w:lang w:eastAsia="de-DE"/>
        </w:rPr>
        <w:t xml:space="preserve"> der öffentlichen Sicherheit prägen seit Jahren den politischen, rechtlichen und medialen Diskurs in der Schweiz und in Europa.</w:t>
      </w:r>
      <w:r w:rsidRPr="0046220B">
        <w:rPr>
          <w:rStyle w:val="Funotenzeichen"/>
          <w:rFonts w:eastAsia="Times New Roman" w:cstheme="minorHAnsi"/>
          <w:color w:val="000000" w:themeColor="text1"/>
          <w:szCs w:val="20"/>
          <w:lang w:eastAsia="de-DE"/>
        </w:rPr>
        <w:footnoteReference w:id="2"/>
      </w:r>
      <w:r w:rsidRPr="0046220B">
        <w:rPr>
          <w:rFonts w:eastAsia="Times New Roman" w:cstheme="minorHAnsi"/>
          <w:color w:val="000000" w:themeColor="text1"/>
          <w:szCs w:val="20"/>
          <w:lang w:eastAsia="de-DE"/>
        </w:rPr>
        <w:t xml:space="preserve"> Ein Instrument zur Verteidigung des Rechtsstaats ist der Bürgerrechtsentzug wie ihn die Schweiz in </w:t>
      </w:r>
      <w:r w:rsidR="00760CF9">
        <w:rPr>
          <w:rFonts w:eastAsia="Times New Roman" w:cstheme="minorHAnsi"/>
          <w:color w:val="000000" w:themeColor="text1"/>
          <w:szCs w:val="20"/>
          <w:lang w:eastAsia="de-DE"/>
        </w:rPr>
        <w:br/>
      </w:r>
      <w:r w:rsidRPr="0046220B">
        <w:rPr>
          <w:rFonts w:eastAsia="Times New Roman" w:cstheme="minorHAnsi"/>
          <w:color w:val="000000" w:themeColor="text1"/>
          <w:szCs w:val="20"/>
          <w:lang w:eastAsia="de-DE"/>
        </w:rPr>
        <w:t xml:space="preserve">Art. 42 des Bürgerrechtsgesetzes (BüG) kennt. Das Staatssekretariat für Migration (SEM) führte bis </w:t>
      </w:r>
      <w:r w:rsidR="003B4A4F">
        <w:rPr>
          <w:rFonts w:eastAsia="Times New Roman" w:cstheme="minorHAnsi"/>
          <w:color w:val="000000" w:themeColor="text1"/>
          <w:szCs w:val="20"/>
          <w:lang w:eastAsia="de-DE"/>
        </w:rPr>
        <w:t>da</w:t>
      </w:r>
      <w:r w:rsidR="003B4A4F" w:rsidRPr="0046220B">
        <w:rPr>
          <w:rFonts w:eastAsia="Times New Roman" w:cstheme="minorHAnsi"/>
          <w:color w:val="000000" w:themeColor="text1"/>
          <w:szCs w:val="20"/>
          <w:lang w:eastAsia="de-DE"/>
        </w:rPr>
        <w:t xml:space="preserve">hin </w:t>
      </w:r>
      <w:r w:rsidRPr="0046220B">
        <w:rPr>
          <w:rFonts w:eastAsia="Times New Roman" w:cstheme="minorHAnsi"/>
          <w:color w:val="000000" w:themeColor="text1"/>
          <w:szCs w:val="20"/>
          <w:lang w:eastAsia="de-DE"/>
        </w:rPr>
        <w:t xml:space="preserve">sieben solcher Entzugsverfahren. Die Betroffenen waren verurteilte </w:t>
      </w:r>
      <w:proofErr w:type="gramStart"/>
      <w:r w:rsidRPr="0046220B">
        <w:rPr>
          <w:rFonts w:eastAsia="Times New Roman" w:cstheme="minorHAnsi"/>
          <w:color w:val="000000" w:themeColor="text1"/>
          <w:szCs w:val="20"/>
          <w:lang w:eastAsia="de-DE"/>
        </w:rPr>
        <w:t>Straftäter:innen</w:t>
      </w:r>
      <w:proofErr w:type="gramEnd"/>
      <w:r w:rsidRPr="0046220B">
        <w:rPr>
          <w:rFonts w:eastAsia="Times New Roman" w:cstheme="minorHAnsi"/>
          <w:color w:val="000000" w:themeColor="text1"/>
          <w:szCs w:val="20"/>
          <w:lang w:eastAsia="de-DE"/>
        </w:rPr>
        <w:t>.</w:t>
      </w:r>
      <w:r w:rsidRPr="0046220B">
        <w:rPr>
          <w:rStyle w:val="Funotenzeichen"/>
          <w:rFonts w:eastAsia="Times New Roman" w:cstheme="minorHAnsi"/>
          <w:color w:val="000000" w:themeColor="text1"/>
          <w:szCs w:val="20"/>
          <w:lang w:eastAsia="de-DE"/>
        </w:rPr>
        <w:footnoteReference w:id="3"/>
      </w:r>
      <w:r w:rsidRPr="0046220B">
        <w:rPr>
          <w:rFonts w:eastAsia="Times New Roman" w:cstheme="minorHAnsi"/>
          <w:color w:val="000000" w:themeColor="text1"/>
          <w:szCs w:val="20"/>
          <w:lang w:eastAsia="de-DE"/>
        </w:rPr>
        <w:t xml:space="preserve"> Die Reaktionen auf den Bürgerrechtsentzug aber sind gespalten: Einerseits sorgt Art. 42 BüG und dessen grund- und menschenrechtlich korrekte Anwendung für Kritik. Andererseits gilt Art. 42 BüG als effizient in der Extremismus- und Terrorismusbekämpfung. Zudem sind politische Forderungen nach griffigen Mitteln im Umgang mit extremistischen und/oder radikalisierten </w:t>
      </w:r>
      <w:proofErr w:type="gramStart"/>
      <w:r w:rsidRPr="0046220B">
        <w:rPr>
          <w:rFonts w:eastAsia="Times New Roman" w:cstheme="minorHAnsi"/>
          <w:color w:val="000000" w:themeColor="text1"/>
          <w:szCs w:val="20"/>
          <w:lang w:eastAsia="de-DE"/>
        </w:rPr>
        <w:t>Straftäter:innen</w:t>
      </w:r>
      <w:proofErr w:type="gramEnd"/>
      <w:r w:rsidRPr="0046220B">
        <w:rPr>
          <w:rFonts w:eastAsia="Times New Roman" w:cstheme="minorHAnsi"/>
          <w:color w:val="000000" w:themeColor="text1"/>
          <w:szCs w:val="20"/>
          <w:lang w:eastAsia="de-DE"/>
        </w:rPr>
        <w:t xml:space="preserve"> laut und erhalten </w:t>
      </w:r>
      <w:r w:rsidR="00815B42" w:rsidRPr="0046220B">
        <w:rPr>
          <w:rFonts w:eastAsia="Times New Roman" w:cstheme="minorHAnsi"/>
          <w:color w:val="000000" w:themeColor="text1"/>
          <w:szCs w:val="20"/>
          <w:lang w:eastAsia="de-DE"/>
        </w:rPr>
        <w:t>große</w:t>
      </w:r>
      <w:r w:rsidRPr="0046220B">
        <w:rPr>
          <w:rFonts w:eastAsia="Times New Roman" w:cstheme="minorHAnsi"/>
          <w:color w:val="000000" w:themeColor="text1"/>
          <w:szCs w:val="20"/>
          <w:lang w:eastAsia="de-DE"/>
        </w:rPr>
        <w:t xml:space="preserve"> – oft auch vorverurteilende oder stigmatisierende – mediale Aufmerksamkeit (vgl. Fritzsche et al. in: NZZ 2024; Hanimann in: Republik 2019; Glaus, Reinhard in: SRF 2021; Jikhareva in: WOZ 2019; Korteweg et al. 2023: 1004 ff.). Erst im März 2024 forderte der Zürcher Regierungsrat und Sicherheitsdirektor Mario Fehr öffentlich, es sei einem 15jährigen schweizerisch-tunesischen Doppelbürger, der in Zürich einen orthodoxen Juden mit einem Messer lebensbedrohlich verletzt hatte, das Schweizer Bürgerrecht zu entziehen. So wäre dessen Abschiebung nach Tunesien möglich (vgl. SRF 2024; Fritzsche et al. in: NZZ 2024).</w:t>
      </w:r>
    </w:p>
    <w:p w14:paraId="78154482" w14:textId="2625C791" w:rsidR="003C268C" w:rsidRPr="0046220B" w:rsidRDefault="003C268C" w:rsidP="001674F2">
      <w:pPr>
        <w:spacing w:after="0" w:line="276" w:lineRule="auto"/>
        <w:jc w:val="both"/>
        <w:rPr>
          <w:rFonts w:eastAsia="Times New Roman" w:cstheme="minorHAnsi"/>
          <w:color w:val="000000" w:themeColor="text1"/>
          <w:szCs w:val="20"/>
          <w:lang w:eastAsia="de-DE"/>
        </w:rPr>
      </w:pPr>
      <w:r w:rsidRPr="0046220B">
        <w:rPr>
          <w:rFonts w:eastAsia="Times New Roman" w:cstheme="minorHAnsi"/>
          <w:color w:val="000000" w:themeColor="text1"/>
          <w:szCs w:val="20"/>
          <w:lang w:eastAsia="de-DE"/>
        </w:rPr>
        <w:t xml:space="preserve">Die vorliegende Analyse liefert einen wissenschaftlichen Beitrag zu dieser Diskussion aus juristischer Perspektive sowie aus der Sicht der Präventionspraxis. Ziel ist eine präzise Einordnung der im Raum stehenden juristischen und präventionspraktischen Fragen. Die Frage, wer als Bürger:in Teil der Gemeinschaft sein soll – oder aus ihr ausgeschlossen wird – und wie mit </w:t>
      </w:r>
      <w:proofErr w:type="gramStart"/>
      <w:r w:rsidRPr="0046220B">
        <w:rPr>
          <w:rFonts w:eastAsia="Times New Roman" w:cstheme="minorHAnsi"/>
          <w:color w:val="000000" w:themeColor="text1"/>
          <w:szCs w:val="20"/>
          <w:lang w:eastAsia="de-DE"/>
        </w:rPr>
        <w:t>Gegner:innen</w:t>
      </w:r>
      <w:proofErr w:type="gramEnd"/>
      <w:r w:rsidRPr="0046220B">
        <w:rPr>
          <w:rFonts w:eastAsia="Times New Roman" w:cstheme="minorHAnsi"/>
          <w:color w:val="000000" w:themeColor="text1"/>
          <w:szCs w:val="20"/>
          <w:lang w:eastAsia="de-DE"/>
        </w:rPr>
        <w:t xml:space="preserve"> der Staatsgemeinschaft verfahren werden soll, bewegt die Zivilgesellschaft aus juristischer wie auch aus präventionspraktischer Warte. Das staatliche Gemeinwesen garantiert fundamentale Grund- und Menschenrechte für alle </w:t>
      </w:r>
      <w:proofErr w:type="gramStart"/>
      <w:r w:rsidRPr="0046220B">
        <w:rPr>
          <w:rFonts w:eastAsia="Times New Roman" w:cstheme="minorHAnsi"/>
          <w:color w:val="000000" w:themeColor="text1"/>
          <w:szCs w:val="20"/>
          <w:lang w:eastAsia="de-DE"/>
        </w:rPr>
        <w:t>Bewohner:innen</w:t>
      </w:r>
      <w:proofErr w:type="gramEnd"/>
      <w:r w:rsidRPr="0046220B">
        <w:rPr>
          <w:rFonts w:eastAsia="Times New Roman" w:cstheme="minorHAnsi"/>
          <w:color w:val="000000" w:themeColor="text1"/>
          <w:szCs w:val="20"/>
          <w:lang w:eastAsia="de-DE"/>
        </w:rPr>
        <w:t xml:space="preserve"> und trägt die Verantwortung für deren Durchsetzung. Notfalls ist der Staat gezwungen, die gegenseitige Rücksichtnahme und die </w:t>
      </w:r>
      <w:r w:rsidR="005F5E1B" w:rsidRPr="001674F2">
        <w:t>„</w:t>
      </w:r>
      <w:r w:rsidRPr="0046220B">
        <w:rPr>
          <w:rFonts w:eastAsia="Times New Roman" w:cstheme="minorHAnsi"/>
          <w:color w:val="000000" w:themeColor="text1"/>
          <w:szCs w:val="20"/>
          <w:lang w:eastAsia="de-DE"/>
        </w:rPr>
        <w:t>Achtung der Vielfalt in der Einheit</w:t>
      </w:r>
      <w:r w:rsidR="008C4D03">
        <w:rPr>
          <w:rFonts w:eastAsia="Times New Roman" w:cstheme="minorHAnsi"/>
          <w:color w:val="000000" w:themeColor="text1"/>
          <w:szCs w:val="20"/>
          <w:lang w:eastAsia="de-DE"/>
        </w:rPr>
        <w:t>“</w:t>
      </w:r>
      <w:r w:rsidRPr="0046220B">
        <w:rPr>
          <w:rFonts w:eastAsia="Times New Roman" w:cstheme="minorHAnsi"/>
          <w:color w:val="000000" w:themeColor="text1"/>
          <w:szCs w:val="20"/>
          <w:lang w:eastAsia="de-DE"/>
        </w:rPr>
        <w:t xml:space="preserve"> mittels Zwangs durchzusetzen. Eine </w:t>
      </w:r>
      <w:r w:rsidRPr="0046220B">
        <w:rPr>
          <w:rFonts w:eastAsia="Times New Roman" w:cstheme="minorHAnsi"/>
          <w:i/>
          <w:iCs/>
          <w:color w:val="000000" w:themeColor="text1"/>
          <w:szCs w:val="20"/>
          <w:lang w:eastAsia="de-DE"/>
        </w:rPr>
        <w:t>wehrhafte Demokratie</w:t>
      </w:r>
      <w:r w:rsidRPr="0046220B">
        <w:rPr>
          <w:rFonts w:eastAsia="Times New Roman" w:cstheme="minorHAnsi"/>
          <w:color w:val="000000" w:themeColor="text1"/>
          <w:szCs w:val="20"/>
          <w:lang w:eastAsia="de-DE"/>
        </w:rPr>
        <w:t xml:space="preserve"> muss sich gegen Gefährdungen ihrer Fundamente etwa durch Terrorismus, Extremismus und Demokratie- sowie Menschenfeindlichkeit verteidigen können. Dazu gehören auch grundrechtseinschränkende </w:t>
      </w:r>
      <w:r w:rsidR="00815B42" w:rsidRPr="0046220B">
        <w:rPr>
          <w:rFonts w:eastAsia="Times New Roman" w:cstheme="minorHAnsi"/>
          <w:color w:val="000000" w:themeColor="text1"/>
          <w:szCs w:val="20"/>
          <w:lang w:eastAsia="de-DE"/>
        </w:rPr>
        <w:t>Maßnahmen</w:t>
      </w:r>
      <w:r w:rsidRPr="0046220B">
        <w:rPr>
          <w:rFonts w:eastAsia="Times New Roman" w:cstheme="minorHAnsi"/>
          <w:color w:val="000000" w:themeColor="text1"/>
          <w:szCs w:val="20"/>
          <w:lang w:eastAsia="de-DE"/>
        </w:rPr>
        <w:t xml:space="preserve"> gegen extremistische und/oder radikalisierte </w:t>
      </w:r>
      <w:proofErr w:type="gramStart"/>
      <w:r w:rsidRPr="0046220B">
        <w:rPr>
          <w:rFonts w:eastAsia="Times New Roman" w:cstheme="minorHAnsi"/>
          <w:color w:val="000000" w:themeColor="text1"/>
          <w:szCs w:val="20"/>
          <w:lang w:eastAsia="de-DE"/>
        </w:rPr>
        <w:t>Straftäter:innen</w:t>
      </w:r>
      <w:proofErr w:type="gramEnd"/>
      <w:r w:rsidRPr="0046220B">
        <w:rPr>
          <w:rFonts w:eastAsia="Times New Roman" w:cstheme="minorHAnsi"/>
          <w:color w:val="000000" w:themeColor="text1"/>
          <w:szCs w:val="20"/>
          <w:lang w:eastAsia="de-DE"/>
        </w:rPr>
        <w:t xml:space="preserve"> (vgl. Schädler 2014: 52 ff.; vgl. Hanimann in: Republik 2019). Doch was bedeutet eine solche Maßnahme für die Praxis der Tertiärprävention? Kann sie als wirkungsvolles Mittel eingesetzt werden, um die Ziele der Tertiärprävention, namentlich die Wiederholung einer durch die Ideologie begründete</w:t>
      </w:r>
      <w:r w:rsidR="00211409">
        <w:rPr>
          <w:rFonts w:eastAsia="Times New Roman" w:cstheme="minorHAnsi"/>
          <w:color w:val="000000" w:themeColor="text1"/>
          <w:szCs w:val="20"/>
          <w:lang w:eastAsia="de-DE"/>
        </w:rPr>
        <w:t>n</w:t>
      </w:r>
      <w:r w:rsidRPr="0046220B">
        <w:rPr>
          <w:rFonts w:eastAsia="Times New Roman" w:cstheme="minorHAnsi"/>
          <w:color w:val="000000" w:themeColor="text1"/>
          <w:szCs w:val="20"/>
          <w:lang w:eastAsia="de-DE"/>
        </w:rPr>
        <w:t xml:space="preserve"> Anwendung von Gewalt oder die Distanzierung vom ideologischen Gedankengut, durchzusetzen?</w:t>
      </w:r>
    </w:p>
    <w:p w14:paraId="62F2253D" w14:textId="0B3B9EF6" w:rsidR="003C268C" w:rsidRPr="0046220B" w:rsidRDefault="003C268C" w:rsidP="003C268C">
      <w:pPr>
        <w:spacing w:before="120" w:line="276" w:lineRule="auto"/>
        <w:jc w:val="both"/>
        <w:rPr>
          <w:rFonts w:eastAsia="Times New Roman" w:cstheme="minorHAnsi"/>
          <w:color w:val="000000" w:themeColor="text1"/>
          <w:szCs w:val="20"/>
          <w:lang w:eastAsia="de-DE"/>
        </w:rPr>
      </w:pPr>
      <w:r w:rsidRPr="0046220B">
        <w:rPr>
          <w:rFonts w:eastAsia="Times New Roman" w:cstheme="minorHAnsi"/>
          <w:color w:val="000000" w:themeColor="text1"/>
          <w:szCs w:val="20"/>
          <w:lang w:eastAsia="de-DE"/>
        </w:rPr>
        <w:t xml:space="preserve">Alleinstellungsmerkmal des Beitrags ist, dass die enge Verschränkung der juristischen und präventionspraktischen Perspektive auf den Bürgerrechtsentzug betrachtet wird. Die Gemeinsamkeit </w:t>
      </w:r>
      <w:r w:rsidR="00981950">
        <w:rPr>
          <w:rFonts w:eastAsia="Times New Roman" w:cstheme="minorHAnsi"/>
          <w:color w:val="000000" w:themeColor="text1"/>
          <w:szCs w:val="20"/>
          <w:lang w:eastAsia="de-DE"/>
        </w:rPr>
        <w:t xml:space="preserve">der beiden Perspektiven </w:t>
      </w:r>
      <w:r w:rsidRPr="0046220B">
        <w:rPr>
          <w:rFonts w:eastAsia="Times New Roman" w:cstheme="minorHAnsi"/>
          <w:color w:val="000000" w:themeColor="text1"/>
          <w:szCs w:val="20"/>
          <w:lang w:eastAsia="de-DE"/>
        </w:rPr>
        <w:t xml:space="preserve">bildet die Fragestellung, </w:t>
      </w:r>
      <w:r w:rsidRPr="0046220B">
        <w:rPr>
          <w:rFonts w:cstheme="minorHAnsi"/>
          <w:color w:val="000000" w:themeColor="text1"/>
          <w:szCs w:val="20"/>
        </w:rPr>
        <w:t xml:space="preserve">ob und in welcher Ausgestaltung der </w:t>
      </w:r>
      <w:r w:rsidRPr="0046220B">
        <w:rPr>
          <w:rFonts w:cstheme="minorHAnsi"/>
          <w:color w:val="000000" w:themeColor="text1"/>
          <w:szCs w:val="20"/>
        </w:rPr>
        <w:lastRenderedPageBreak/>
        <w:t>Bürgerrechtsentzug als staatliches Instrument in der Radikalisierungsprävention Anwendung finden soll. Eine juristisch begründete Geeignetheit stellt die Grundvoraussetzung für die Durchführung einer solchen Maßnahme dar. Aus Perspektive der Tertiärprävention stellen sich allerdings eigene Fragen, inwiefern der Bürgerrechtsentzug mit Zielen und Grundsätzen der Präventionsarbeit vereinbar ist. Nur wenn beide Perspektiven zum Schluss gelangen, dass der Bürgerrechtsentzug ein geeignetes Mittel für die Radikalisierungsprävention darstellt, wäre ein Einsatz dieser Maßnahme denkbar und sinnvoll.</w:t>
      </w:r>
    </w:p>
    <w:p w14:paraId="7E8B724B" w14:textId="314D4CFA" w:rsidR="003C268C" w:rsidRPr="006B0849" w:rsidRDefault="006B0849" w:rsidP="00494A98">
      <w:pPr>
        <w:pStyle w:val="berschrift1"/>
        <w:numPr>
          <w:ilvl w:val="0"/>
          <w:numId w:val="0"/>
        </w:numPr>
        <w:spacing w:before="240" w:after="120" w:line="276" w:lineRule="auto"/>
        <w:ind w:left="431" w:hanging="431"/>
        <w:jc w:val="both"/>
        <w:rPr>
          <w:rFonts w:asciiTheme="minorHAnsi" w:hAnsiTheme="minorHAnsi" w:cstheme="minorHAnsi"/>
          <w:color w:val="016D72"/>
          <w:sz w:val="32"/>
          <w:szCs w:val="32"/>
        </w:rPr>
      </w:pPr>
      <w:bookmarkStart w:id="1" w:name="_Toc188272755"/>
      <w:bookmarkStart w:id="2" w:name="_Toc195609690"/>
      <w:r w:rsidRPr="006B0849">
        <w:rPr>
          <w:rFonts w:asciiTheme="minorHAnsi" w:hAnsiTheme="minorHAnsi" w:cstheme="minorHAnsi"/>
          <w:color w:val="016D72"/>
          <w:sz w:val="32"/>
          <w:szCs w:val="32"/>
        </w:rPr>
        <w:t xml:space="preserve">2. </w:t>
      </w:r>
      <w:r w:rsidR="003C268C" w:rsidRPr="006B0849">
        <w:rPr>
          <w:rFonts w:asciiTheme="minorHAnsi" w:hAnsiTheme="minorHAnsi" w:cstheme="minorHAnsi"/>
          <w:color w:val="016D72"/>
          <w:sz w:val="32"/>
          <w:szCs w:val="32"/>
        </w:rPr>
        <w:t>Problem- und Fragestellung</w:t>
      </w:r>
      <w:bookmarkEnd w:id="1"/>
      <w:bookmarkEnd w:id="2"/>
    </w:p>
    <w:p w14:paraId="46AC9EFB" w14:textId="4BC4C48D" w:rsidR="003C268C" w:rsidRPr="006B0849" w:rsidRDefault="006B0849" w:rsidP="005F4735">
      <w:pPr>
        <w:pStyle w:val="2Ebene"/>
      </w:pPr>
      <w:bookmarkStart w:id="3" w:name="_Toc188272756"/>
      <w:bookmarkStart w:id="4" w:name="_Toc195609691"/>
      <w:r w:rsidRPr="006B0849">
        <w:t xml:space="preserve">2.1 </w:t>
      </w:r>
      <w:r w:rsidR="003C268C" w:rsidRPr="006B0849">
        <w:t>Einleitendes Fallbeispiel</w:t>
      </w:r>
      <w:bookmarkEnd w:id="3"/>
      <w:bookmarkEnd w:id="4"/>
    </w:p>
    <w:p w14:paraId="675BE710" w14:textId="5145C31D" w:rsidR="003C268C" w:rsidRPr="0046220B" w:rsidRDefault="003C268C" w:rsidP="003C268C">
      <w:pPr>
        <w:spacing w:before="120" w:line="276" w:lineRule="auto"/>
        <w:jc w:val="both"/>
        <w:rPr>
          <w:rFonts w:eastAsia="Times New Roman" w:cstheme="minorHAnsi"/>
          <w:color w:val="000000" w:themeColor="text1"/>
          <w:szCs w:val="20"/>
          <w:lang w:eastAsia="de-DE"/>
        </w:rPr>
      </w:pPr>
      <w:r w:rsidRPr="0046220B">
        <w:rPr>
          <w:rFonts w:eastAsia="Times New Roman" w:cstheme="minorHAnsi"/>
          <w:color w:val="000000" w:themeColor="text1"/>
          <w:szCs w:val="20"/>
          <w:lang w:eastAsia="de-DE"/>
        </w:rPr>
        <w:t xml:space="preserve">Während in der Schweiz und in Europa der Ruf nach griffigen Mitteln im Umgang mit extremistischen und/oder radikalisierten </w:t>
      </w:r>
      <w:proofErr w:type="gramStart"/>
      <w:r w:rsidRPr="0046220B">
        <w:rPr>
          <w:rFonts w:eastAsia="Times New Roman" w:cstheme="minorHAnsi"/>
          <w:color w:val="000000" w:themeColor="text1"/>
          <w:szCs w:val="20"/>
          <w:lang w:eastAsia="de-DE"/>
        </w:rPr>
        <w:t>Straftäter:innen</w:t>
      </w:r>
      <w:proofErr w:type="gramEnd"/>
      <w:r w:rsidRPr="0046220B">
        <w:rPr>
          <w:rFonts w:eastAsia="Times New Roman" w:cstheme="minorHAnsi"/>
          <w:color w:val="000000" w:themeColor="text1"/>
          <w:szCs w:val="20"/>
          <w:lang w:eastAsia="de-DE"/>
        </w:rPr>
        <w:t xml:space="preserve"> in den letzten Jahren unüberhörbar geworden ist, sind die Anwendungsfälle für einen Entzug des Bürgerrechts als verwaltungsrechtliche </w:t>
      </w:r>
      <w:r w:rsidR="00815B42" w:rsidRPr="0046220B">
        <w:rPr>
          <w:rFonts w:eastAsia="Times New Roman" w:cstheme="minorHAnsi"/>
          <w:color w:val="000000" w:themeColor="text1"/>
          <w:szCs w:val="20"/>
          <w:lang w:eastAsia="de-DE"/>
        </w:rPr>
        <w:t>Maßnahme</w:t>
      </w:r>
      <w:r w:rsidRPr="0046220B">
        <w:rPr>
          <w:rFonts w:eastAsia="Times New Roman" w:cstheme="minorHAnsi"/>
          <w:color w:val="000000" w:themeColor="text1"/>
          <w:szCs w:val="20"/>
          <w:lang w:eastAsia="de-DE"/>
        </w:rPr>
        <w:t xml:space="preserve"> unterschiedlich. Bis heute sind Präzedenzfälle, in denen die zuständige Verwaltungsbehörde SEM straffällig gewordenen Schweizer </w:t>
      </w:r>
      <w:proofErr w:type="gramStart"/>
      <w:r w:rsidRPr="0046220B">
        <w:rPr>
          <w:rFonts w:eastAsia="Times New Roman" w:cstheme="minorHAnsi"/>
          <w:color w:val="000000" w:themeColor="text1"/>
          <w:szCs w:val="20"/>
          <w:lang w:eastAsia="de-DE"/>
        </w:rPr>
        <w:t>Täter:innen</w:t>
      </w:r>
      <w:proofErr w:type="gramEnd"/>
      <w:r w:rsidRPr="0046220B">
        <w:rPr>
          <w:rFonts w:eastAsia="Times New Roman" w:cstheme="minorHAnsi"/>
          <w:color w:val="000000" w:themeColor="text1"/>
          <w:szCs w:val="20"/>
          <w:lang w:eastAsia="de-DE"/>
        </w:rPr>
        <w:t xml:space="preserve"> das Bürgerrecht entzogen hatte, eine Rarität. 2021 bzw. 2022 befasste</w:t>
      </w:r>
      <w:r w:rsidR="00BA3679">
        <w:rPr>
          <w:rFonts w:eastAsia="Times New Roman" w:cstheme="minorHAnsi"/>
          <w:color w:val="000000" w:themeColor="text1"/>
          <w:szCs w:val="20"/>
          <w:lang w:eastAsia="de-DE"/>
        </w:rPr>
        <w:t>n</w:t>
      </w:r>
      <w:r w:rsidRPr="0046220B">
        <w:rPr>
          <w:rFonts w:eastAsia="Times New Roman" w:cstheme="minorHAnsi"/>
          <w:color w:val="000000" w:themeColor="text1"/>
          <w:szCs w:val="20"/>
          <w:lang w:eastAsia="de-DE"/>
        </w:rPr>
        <w:t xml:space="preserve"> sich das Bundesverwaltungsgericht</w:t>
      </w:r>
      <w:r w:rsidRPr="0046220B">
        <w:rPr>
          <w:rStyle w:val="Funotenzeichen"/>
          <w:rFonts w:eastAsia="Times New Roman" w:cstheme="minorHAnsi"/>
          <w:color w:val="000000" w:themeColor="text1"/>
          <w:szCs w:val="20"/>
          <w:lang w:eastAsia="de-DE"/>
        </w:rPr>
        <w:footnoteReference w:id="4"/>
      </w:r>
      <w:r w:rsidRPr="0046220B">
        <w:rPr>
          <w:rFonts w:eastAsia="Times New Roman" w:cstheme="minorHAnsi"/>
          <w:color w:val="000000" w:themeColor="text1"/>
          <w:szCs w:val="20"/>
          <w:lang w:eastAsia="de-DE"/>
        </w:rPr>
        <w:t xml:space="preserve"> sowie das Bundesgericht</w:t>
      </w:r>
      <w:r w:rsidRPr="0046220B">
        <w:rPr>
          <w:rStyle w:val="Funotenzeichen"/>
          <w:rFonts w:eastAsia="Times New Roman" w:cstheme="minorHAnsi"/>
          <w:color w:val="000000" w:themeColor="text1"/>
          <w:szCs w:val="20"/>
          <w:lang w:eastAsia="de-DE"/>
        </w:rPr>
        <w:footnoteReference w:id="5"/>
      </w:r>
      <w:r w:rsidRPr="0046220B">
        <w:rPr>
          <w:rFonts w:eastAsia="Times New Roman" w:cstheme="minorHAnsi"/>
          <w:color w:val="000000" w:themeColor="text1"/>
          <w:szCs w:val="20"/>
          <w:lang w:eastAsia="de-DE"/>
        </w:rPr>
        <w:t xml:space="preserve"> als höchste Schweizer Gerichtsinstanzen erstmalig mit dem Bürgerrechtsentzug eines Dschihad-Reisenden, nachdem Art. 42 BüG zuletzt angewendet wurde, um Personen, die zur Zeit des Dritten Reichs gegen die Schweiz tätig wurden und die Sicherheit des Landes gefährdeten</w:t>
      </w:r>
      <w:r w:rsidR="00ED0340">
        <w:rPr>
          <w:rFonts w:eastAsia="Times New Roman" w:cstheme="minorHAnsi"/>
          <w:color w:val="000000" w:themeColor="text1"/>
          <w:szCs w:val="20"/>
          <w:lang w:eastAsia="de-DE"/>
        </w:rPr>
        <w:t>,</w:t>
      </w:r>
      <w:r w:rsidRPr="0046220B">
        <w:rPr>
          <w:rFonts w:eastAsia="Times New Roman" w:cstheme="minorHAnsi"/>
          <w:color w:val="000000" w:themeColor="text1"/>
          <w:szCs w:val="20"/>
          <w:lang w:eastAsia="de-DE"/>
        </w:rPr>
        <w:t xml:space="preserve"> zu verurteilen. </w:t>
      </w:r>
    </w:p>
    <w:p w14:paraId="4BBC2F85" w14:textId="57C472C1" w:rsidR="003C268C" w:rsidRPr="0046220B" w:rsidRDefault="003C268C" w:rsidP="003C268C">
      <w:pPr>
        <w:spacing w:before="120" w:line="276" w:lineRule="auto"/>
        <w:jc w:val="both"/>
        <w:rPr>
          <w:rFonts w:eastAsia="Times New Roman" w:cstheme="minorHAnsi"/>
          <w:color w:val="000000" w:themeColor="text1"/>
          <w:szCs w:val="20"/>
          <w:lang w:eastAsia="de-DE"/>
        </w:rPr>
      </w:pPr>
      <w:r w:rsidRPr="0046220B">
        <w:rPr>
          <w:rFonts w:eastAsia="Times New Roman" w:cstheme="minorHAnsi"/>
          <w:color w:val="000000" w:themeColor="text1"/>
          <w:szCs w:val="20"/>
          <w:lang w:eastAsia="de-DE"/>
        </w:rPr>
        <w:t xml:space="preserve">Somit stellt der Bürgerrechtsentzug als Mittel zur Terror-, Dschihadismus- und Extremismusbekämpfung sowie zur adäquaten Reaktion auf (Schweizer) </w:t>
      </w:r>
      <w:proofErr w:type="gramStart"/>
      <w:r w:rsidRPr="0046220B">
        <w:rPr>
          <w:rFonts w:eastAsia="Times New Roman" w:cstheme="minorHAnsi"/>
          <w:color w:val="000000" w:themeColor="text1"/>
          <w:szCs w:val="20"/>
          <w:lang w:eastAsia="de-DE"/>
        </w:rPr>
        <w:t>Kämpfer:innen</w:t>
      </w:r>
      <w:proofErr w:type="gramEnd"/>
      <w:r w:rsidRPr="0046220B">
        <w:rPr>
          <w:rFonts w:eastAsia="Times New Roman" w:cstheme="minorHAnsi"/>
          <w:color w:val="000000" w:themeColor="text1"/>
          <w:szCs w:val="20"/>
          <w:lang w:eastAsia="de-DE"/>
        </w:rPr>
        <w:t xml:space="preserve"> des sog. Islamischen Staats ein Wendepunkt in der sicherheitspolitischen Diskussion in der Schweiz dar (vgl. von Rütte 2023: 5; Achermann 2015: 8 f.; Hanimann in: Republik 2019). Die Gesetzeslage in Deutschland ist mit derjenigen der Schweiz vergleichbar, allerdings wäre ein Bürgerrechtsentzug in Deutschland nur möglich, wenn die Ausreise der Dschihad-Reisenden nach 2019 stattgefunden </w:t>
      </w:r>
      <w:proofErr w:type="gramStart"/>
      <w:r w:rsidRPr="0046220B">
        <w:rPr>
          <w:rFonts w:eastAsia="Times New Roman" w:cstheme="minorHAnsi"/>
          <w:color w:val="000000" w:themeColor="text1"/>
          <w:szCs w:val="20"/>
          <w:lang w:eastAsia="de-DE"/>
        </w:rPr>
        <w:t>hat</w:t>
      </w:r>
      <w:proofErr w:type="gramEnd"/>
      <w:r w:rsidRPr="0046220B">
        <w:rPr>
          <w:rStyle w:val="Funotenzeichen"/>
          <w:rFonts w:eastAsia="Times New Roman" w:cstheme="minorHAnsi"/>
          <w:color w:val="000000" w:themeColor="text1"/>
          <w:szCs w:val="20"/>
          <w:lang w:eastAsia="de-DE"/>
        </w:rPr>
        <w:footnoteReference w:id="6"/>
      </w:r>
      <w:r w:rsidRPr="0046220B">
        <w:rPr>
          <w:rFonts w:eastAsia="Times New Roman" w:cstheme="minorHAnsi"/>
          <w:color w:val="000000" w:themeColor="text1"/>
          <w:szCs w:val="20"/>
          <w:lang w:eastAsia="de-DE"/>
        </w:rPr>
        <w:t xml:space="preserve">, </w:t>
      </w:r>
      <w:r w:rsidR="00981950">
        <w:rPr>
          <w:rFonts w:eastAsia="Times New Roman" w:cstheme="minorHAnsi"/>
          <w:color w:val="000000" w:themeColor="text1"/>
          <w:szCs w:val="20"/>
          <w:lang w:eastAsia="de-DE"/>
        </w:rPr>
        <w:t>weshalb</w:t>
      </w:r>
      <w:r w:rsidR="00981950" w:rsidRPr="0046220B">
        <w:rPr>
          <w:rFonts w:eastAsia="Times New Roman" w:cstheme="minorHAnsi"/>
          <w:color w:val="000000" w:themeColor="text1"/>
          <w:szCs w:val="20"/>
          <w:lang w:eastAsia="de-DE"/>
        </w:rPr>
        <w:t xml:space="preserve"> </w:t>
      </w:r>
      <w:r w:rsidRPr="0046220B">
        <w:rPr>
          <w:rFonts w:eastAsia="Times New Roman" w:cstheme="minorHAnsi"/>
          <w:color w:val="000000" w:themeColor="text1"/>
          <w:szCs w:val="20"/>
          <w:lang w:eastAsia="de-DE"/>
        </w:rPr>
        <w:t xml:space="preserve">der Bürgerrechtsentzug in Deutschland </w:t>
      </w:r>
      <w:r w:rsidR="00981950" w:rsidRPr="0046220B">
        <w:rPr>
          <w:rFonts w:eastAsia="Times New Roman" w:cstheme="minorHAnsi"/>
          <w:color w:val="000000" w:themeColor="text1"/>
          <w:szCs w:val="20"/>
          <w:lang w:eastAsia="de-DE"/>
        </w:rPr>
        <w:t xml:space="preserve">bisher </w:t>
      </w:r>
      <w:r w:rsidRPr="0046220B">
        <w:rPr>
          <w:rFonts w:eastAsia="Times New Roman" w:cstheme="minorHAnsi"/>
          <w:color w:val="000000" w:themeColor="text1"/>
          <w:szCs w:val="20"/>
          <w:lang w:eastAsia="de-DE"/>
        </w:rPr>
        <w:t xml:space="preserve">keine Anwendung gefunden hat. Ein ähnliches Vorgehen ist zukünftig allerdings nicht </w:t>
      </w:r>
      <w:r w:rsidR="00815B42" w:rsidRPr="0046220B">
        <w:rPr>
          <w:rFonts w:eastAsia="Times New Roman" w:cstheme="minorHAnsi"/>
          <w:color w:val="000000" w:themeColor="text1"/>
          <w:szCs w:val="20"/>
          <w:lang w:eastAsia="de-DE"/>
        </w:rPr>
        <w:t>auszuschließen</w:t>
      </w:r>
      <w:r w:rsidRPr="0046220B">
        <w:rPr>
          <w:rFonts w:eastAsia="Times New Roman" w:cstheme="minorHAnsi"/>
          <w:color w:val="000000" w:themeColor="text1"/>
          <w:szCs w:val="20"/>
          <w:lang w:eastAsia="de-DE"/>
        </w:rPr>
        <w:t xml:space="preserve">. </w:t>
      </w:r>
    </w:p>
    <w:p w14:paraId="0D77F1F0" w14:textId="7C57B2FF" w:rsidR="003C268C" w:rsidRPr="0046220B" w:rsidRDefault="003C268C" w:rsidP="003C268C">
      <w:pPr>
        <w:spacing w:before="120" w:line="276" w:lineRule="auto"/>
        <w:jc w:val="both"/>
        <w:rPr>
          <w:rFonts w:eastAsia="Times New Roman" w:cstheme="minorHAnsi"/>
          <w:color w:val="000000" w:themeColor="text1"/>
          <w:szCs w:val="20"/>
          <w:lang w:eastAsia="de-DE"/>
        </w:rPr>
      </w:pPr>
      <w:r w:rsidRPr="0046220B">
        <w:rPr>
          <w:rFonts w:eastAsia="Times New Roman" w:cstheme="minorHAnsi"/>
          <w:color w:val="000000" w:themeColor="text1"/>
          <w:szCs w:val="20"/>
          <w:lang w:eastAsia="de-DE"/>
        </w:rPr>
        <w:t>Folgendes Fallbeispiel eignet sich zur Illustration der Diskussion</w:t>
      </w:r>
      <w:r w:rsidR="00C525A9">
        <w:rPr>
          <w:rStyle w:val="Funotenzeichen"/>
          <w:rFonts w:eastAsia="Times New Roman" w:cstheme="minorHAnsi"/>
          <w:color w:val="000000" w:themeColor="text1"/>
          <w:szCs w:val="20"/>
          <w:lang w:eastAsia="de-DE"/>
        </w:rPr>
        <w:footnoteReference w:id="7"/>
      </w:r>
      <w:r w:rsidRPr="0046220B">
        <w:rPr>
          <w:rFonts w:eastAsia="Times New Roman" w:cstheme="minorHAnsi"/>
          <w:color w:val="000000" w:themeColor="text1"/>
          <w:szCs w:val="20"/>
          <w:lang w:eastAsia="de-DE"/>
        </w:rPr>
        <w:t>.</w:t>
      </w:r>
    </w:p>
    <w:p w14:paraId="4D8937E3" w14:textId="0B593B31" w:rsidR="003C268C" w:rsidRPr="0046220B" w:rsidRDefault="003C268C" w:rsidP="00A110BC">
      <w:pPr>
        <w:spacing w:before="160" w:line="276" w:lineRule="auto"/>
        <w:ind w:left="578"/>
        <w:jc w:val="both"/>
        <w:rPr>
          <w:rFonts w:eastAsia="Times New Roman" w:cstheme="minorHAnsi"/>
          <w:color w:val="000000" w:themeColor="text1"/>
          <w:sz w:val="20"/>
          <w:szCs w:val="20"/>
          <w:lang w:eastAsia="de-DE"/>
        </w:rPr>
      </w:pPr>
      <w:r w:rsidRPr="0046220B">
        <w:rPr>
          <w:rFonts w:eastAsia="Times New Roman" w:cstheme="minorHAnsi"/>
          <w:color w:val="000000" w:themeColor="text1"/>
          <w:sz w:val="20"/>
          <w:szCs w:val="20"/>
          <w:lang w:eastAsia="de-DE"/>
        </w:rPr>
        <w:t>A.</w:t>
      </w:r>
      <w:r w:rsidR="00796DEF">
        <w:rPr>
          <w:rFonts w:eastAsia="Times New Roman" w:cstheme="minorHAnsi"/>
          <w:color w:val="000000" w:themeColor="text1"/>
          <w:sz w:val="20"/>
          <w:szCs w:val="20"/>
          <w:lang w:eastAsia="de-DE"/>
        </w:rPr>
        <w:t xml:space="preserve"> </w:t>
      </w:r>
      <w:r w:rsidRPr="0046220B">
        <w:rPr>
          <w:rFonts w:eastAsia="Times New Roman" w:cstheme="minorHAnsi"/>
          <w:color w:val="000000" w:themeColor="text1"/>
          <w:sz w:val="20"/>
          <w:szCs w:val="20"/>
          <w:lang w:eastAsia="de-DE"/>
        </w:rPr>
        <w:t xml:space="preserve">B. wurde 1989 im türkischen Malatya geboren </w:t>
      </w:r>
      <w:r w:rsidR="00196F29">
        <w:rPr>
          <w:rFonts w:eastAsia="Times New Roman" w:cstheme="minorHAnsi"/>
          <w:color w:val="000000" w:themeColor="text1"/>
          <w:sz w:val="20"/>
          <w:szCs w:val="20"/>
          <w:lang w:eastAsia="de-DE"/>
        </w:rPr>
        <w:t xml:space="preserve">und </w:t>
      </w:r>
      <w:r w:rsidRPr="0046220B">
        <w:rPr>
          <w:rFonts w:eastAsia="Times New Roman" w:cstheme="minorHAnsi"/>
          <w:color w:val="000000" w:themeColor="text1"/>
          <w:sz w:val="20"/>
          <w:szCs w:val="20"/>
          <w:lang w:eastAsia="de-DE"/>
        </w:rPr>
        <w:t>wuchs als Kind in Arbon im Schweizer Kanton Thurgau am Bodensee auf. 2007 wurde er eingebürgert. Bereits wenige Jahre später begann ein Radikalisierungsprozess, wobei A.</w:t>
      </w:r>
      <w:r w:rsidR="00796DEF">
        <w:rPr>
          <w:rFonts w:eastAsia="Times New Roman" w:cstheme="minorHAnsi"/>
          <w:color w:val="000000" w:themeColor="text1"/>
          <w:sz w:val="20"/>
          <w:szCs w:val="20"/>
          <w:lang w:eastAsia="de-DE"/>
        </w:rPr>
        <w:t xml:space="preserve"> </w:t>
      </w:r>
      <w:r w:rsidRPr="0046220B">
        <w:rPr>
          <w:rFonts w:eastAsia="Times New Roman" w:cstheme="minorHAnsi"/>
          <w:color w:val="000000" w:themeColor="text1"/>
          <w:sz w:val="20"/>
          <w:szCs w:val="20"/>
          <w:lang w:eastAsia="de-DE"/>
        </w:rPr>
        <w:t xml:space="preserve">B. 2014 nach Syrien reiste und sich vor Ort der </w:t>
      </w:r>
      <w:r w:rsidRPr="001674F2">
        <w:rPr>
          <w:rFonts w:eastAsia="Times New Roman" w:cstheme="minorHAnsi"/>
          <w:i/>
          <w:iCs/>
          <w:color w:val="000000" w:themeColor="text1"/>
          <w:sz w:val="20"/>
          <w:szCs w:val="20"/>
          <w:lang w:eastAsia="de-DE"/>
        </w:rPr>
        <w:t>Nusra-Front</w:t>
      </w:r>
      <w:r w:rsidRPr="0046220B">
        <w:rPr>
          <w:rFonts w:eastAsia="Times New Roman" w:cstheme="minorHAnsi"/>
          <w:color w:val="000000" w:themeColor="text1"/>
          <w:sz w:val="20"/>
          <w:szCs w:val="20"/>
          <w:lang w:eastAsia="de-DE"/>
        </w:rPr>
        <w:t xml:space="preserve"> (</w:t>
      </w:r>
      <w:r w:rsidRPr="001674F2">
        <w:rPr>
          <w:rFonts w:eastAsia="Times New Roman" w:cstheme="minorHAnsi"/>
          <w:i/>
          <w:iCs/>
          <w:color w:val="000000" w:themeColor="text1"/>
          <w:sz w:val="20"/>
          <w:szCs w:val="20"/>
          <w:lang w:eastAsia="de-DE"/>
        </w:rPr>
        <w:t>Al-Qaida</w:t>
      </w:r>
      <w:r w:rsidRPr="0046220B">
        <w:rPr>
          <w:rFonts w:eastAsia="Times New Roman" w:cstheme="minorHAnsi"/>
          <w:color w:val="000000" w:themeColor="text1"/>
          <w:sz w:val="20"/>
          <w:szCs w:val="20"/>
          <w:lang w:eastAsia="de-DE"/>
        </w:rPr>
        <w:t>) anschloss. Welche Aufgaben er für das weltweit operierende Terror-Netzwerk verrichtete, ist bis zum heutigen Zeitpunkt nicht vollständig bekannt. 2014 reiste seine Ehefrau T.</w:t>
      </w:r>
      <w:r w:rsidR="00C66C00">
        <w:rPr>
          <w:rFonts w:eastAsia="Times New Roman" w:cstheme="minorHAnsi"/>
          <w:color w:val="000000" w:themeColor="text1"/>
          <w:sz w:val="20"/>
          <w:szCs w:val="20"/>
          <w:lang w:eastAsia="de-DE"/>
        </w:rPr>
        <w:t xml:space="preserve"> </w:t>
      </w:r>
      <w:r w:rsidRPr="0046220B">
        <w:rPr>
          <w:rFonts w:eastAsia="Times New Roman" w:cstheme="minorHAnsi"/>
          <w:color w:val="000000" w:themeColor="text1"/>
          <w:sz w:val="20"/>
          <w:szCs w:val="20"/>
          <w:lang w:eastAsia="de-DE"/>
        </w:rPr>
        <w:t>K. nach Syrien. T.</w:t>
      </w:r>
      <w:r w:rsidR="00C66C00">
        <w:rPr>
          <w:rFonts w:eastAsia="Times New Roman" w:cstheme="minorHAnsi"/>
          <w:color w:val="000000" w:themeColor="text1"/>
          <w:sz w:val="20"/>
          <w:szCs w:val="20"/>
          <w:lang w:eastAsia="de-DE"/>
        </w:rPr>
        <w:t xml:space="preserve"> </w:t>
      </w:r>
      <w:r w:rsidRPr="0046220B">
        <w:rPr>
          <w:rFonts w:eastAsia="Times New Roman" w:cstheme="minorHAnsi"/>
          <w:color w:val="000000" w:themeColor="text1"/>
          <w:sz w:val="20"/>
          <w:szCs w:val="20"/>
          <w:lang w:eastAsia="de-DE"/>
        </w:rPr>
        <w:t>K. war deutsche Staatsangehörige und wollte ihren Ehemann zur Rückkehr in die Schweiz bewegen. T.</w:t>
      </w:r>
      <w:r w:rsidR="00C66C00">
        <w:rPr>
          <w:rFonts w:eastAsia="Times New Roman" w:cstheme="minorHAnsi"/>
          <w:color w:val="000000" w:themeColor="text1"/>
          <w:sz w:val="20"/>
          <w:szCs w:val="20"/>
          <w:lang w:eastAsia="de-DE"/>
        </w:rPr>
        <w:t xml:space="preserve"> </w:t>
      </w:r>
      <w:r w:rsidRPr="0046220B">
        <w:rPr>
          <w:rFonts w:eastAsia="Times New Roman" w:cstheme="minorHAnsi"/>
          <w:color w:val="000000" w:themeColor="text1"/>
          <w:sz w:val="20"/>
          <w:szCs w:val="20"/>
          <w:lang w:eastAsia="de-DE"/>
        </w:rPr>
        <w:t>K. war zum damaligen Zeitpunkt schwanger von A.</w:t>
      </w:r>
      <w:r w:rsidR="00C66C00">
        <w:rPr>
          <w:rFonts w:eastAsia="Times New Roman" w:cstheme="minorHAnsi"/>
          <w:color w:val="000000" w:themeColor="text1"/>
          <w:sz w:val="20"/>
          <w:szCs w:val="20"/>
          <w:lang w:eastAsia="de-DE"/>
        </w:rPr>
        <w:t xml:space="preserve"> </w:t>
      </w:r>
      <w:r w:rsidRPr="0046220B">
        <w:rPr>
          <w:rFonts w:eastAsia="Times New Roman" w:cstheme="minorHAnsi"/>
          <w:color w:val="000000" w:themeColor="text1"/>
          <w:sz w:val="20"/>
          <w:szCs w:val="20"/>
          <w:lang w:eastAsia="de-DE"/>
        </w:rPr>
        <w:t>B. In Syrien angekommen, hielt A.</w:t>
      </w:r>
      <w:r w:rsidR="00C66C00">
        <w:rPr>
          <w:rFonts w:eastAsia="Times New Roman" w:cstheme="minorHAnsi"/>
          <w:color w:val="000000" w:themeColor="text1"/>
          <w:sz w:val="20"/>
          <w:szCs w:val="20"/>
          <w:lang w:eastAsia="de-DE"/>
        </w:rPr>
        <w:t xml:space="preserve"> </w:t>
      </w:r>
      <w:r w:rsidRPr="0046220B">
        <w:rPr>
          <w:rFonts w:eastAsia="Times New Roman" w:cstheme="minorHAnsi"/>
          <w:color w:val="000000" w:themeColor="text1"/>
          <w:sz w:val="20"/>
          <w:szCs w:val="20"/>
          <w:lang w:eastAsia="de-DE"/>
        </w:rPr>
        <w:t xml:space="preserve">B. seine Ehefrau gegen </w:t>
      </w:r>
      <w:r w:rsidR="00C66C00">
        <w:rPr>
          <w:rFonts w:eastAsia="Times New Roman" w:cstheme="minorHAnsi"/>
          <w:color w:val="000000" w:themeColor="text1"/>
          <w:sz w:val="20"/>
          <w:szCs w:val="20"/>
          <w:lang w:eastAsia="de-DE"/>
        </w:rPr>
        <w:t>i</w:t>
      </w:r>
      <w:r w:rsidR="00C66C00" w:rsidRPr="0046220B">
        <w:rPr>
          <w:rFonts w:eastAsia="Times New Roman" w:cstheme="minorHAnsi"/>
          <w:color w:val="000000" w:themeColor="text1"/>
          <w:sz w:val="20"/>
          <w:szCs w:val="20"/>
          <w:lang w:eastAsia="de-DE"/>
        </w:rPr>
        <w:t xml:space="preserve">hren </w:t>
      </w:r>
      <w:r w:rsidRPr="0046220B">
        <w:rPr>
          <w:rFonts w:eastAsia="Times New Roman" w:cstheme="minorHAnsi"/>
          <w:color w:val="000000" w:themeColor="text1"/>
          <w:sz w:val="20"/>
          <w:szCs w:val="20"/>
          <w:lang w:eastAsia="de-DE"/>
        </w:rPr>
        <w:t>Willen fest, wonach diese 2015 im syrischen Kriegsgebiet das gemeinsame Kind zur Welt brachte. 2016 wurde A.</w:t>
      </w:r>
      <w:r w:rsidR="009E74B2">
        <w:rPr>
          <w:rFonts w:eastAsia="Times New Roman" w:cstheme="minorHAnsi"/>
          <w:color w:val="000000" w:themeColor="text1"/>
          <w:sz w:val="20"/>
          <w:szCs w:val="20"/>
          <w:lang w:eastAsia="de-DE"/>
        </w:rPr>
        <w:t xml:space="preserve"> </w:t>
      </w:r>
      <w:r w:rsidRPr="0046220B">
        <w:rPr>
          <w:rFonts w:eastAsia="Times New Roman" w:cstheme="minorHAnsi"/>
          <w:color w:val="000000" w:themeColor="text1"/>
          <w:sz w:val="20"/>
          <w:szCs w:val="20"/>
          <w:lang w:eastAsia="de-DE"/>
        </w:rPr>
        <w:t>B. von den türkischen Sicherheitsorganen verhaftet. Es folgte die Überstellung in die Schweiz. Die Schweizer Bundesanwaltschaft übernahm als zuständiges Strafverfolgungsorgan die Ermittlungen. 2017 wurde A.</w:t>
      </w:r>
      <w:r w:rsidR="00F26B37">
        <w:rPr>
          <w:rFonts w:eastAsia="Times New Roman" w:cstheme="minorHAnsi"/>
          <w:color w:val="000000" w:themeColor="text1"/>
          <w:sz w:val="20"/>
          <w:szCs w:val="20"/>
          <w:lang w:eastAsia="de-DE"/>
        </w:rPr>
        <w:t xml:space="preserve"> </w:t>
      </w:r>
      <w:r w:rsidRPr="0046220B">
        <w:rPr>
          <w:rFonts w:eastAsia="Times New Roman" w:cstheme="minorHAnsi"/>
          <w:color w:val="000000" w:themeColor="text1"/>
          <w:sz w:val="20"/>
          <w:szCs w:val="20"/>
          <w:lang w:eastAsia="de-DE"/>
        </w:rPr>
        <w:t xml:space="preserve">B. durch das Schweizer Bundesstrafgericht gestützt auf das Bundesgesetz </w:t>
      </w:r>
      <w:r w:rsidRPr="0046220B">
        <w:rPr>
          <w:rFonts w:eastAsia="Times New Roman" w:cstheme="minorHAnsi"/>
          <w:color w:val="000000" w:themeColor="text1"/>
          <w:sz w:val="20"/>
          <w:szCs w:val="20"/>
          <w:lang w:eastAsia="de-DE"/>
        </w:rPr>
        <w:lastRenderedPageBreak/>
        <w:t xml:space="preserve">über das Verbot der Gruppierungen </w:t>
      </w:r>
      <w:r w:rsidR="00F26B37">
        <w:rPr>
          <w:b/>
        </w:rPr>
        <w:t>„</w:t>
      </w:r>
      <w:r w:rsidRPr="001674F2">
        <w:rPr>
          <w:rFonts w:eastAsia="Times New Roman" w:cstheme="minorHAnsi"/>
          <w:i/>
          <w:iCs/>
          <w:color w:val="000000" w:themeColor="text1"/>
          <w:sz w:val="20"/>
          <w:szCs w:val="20"/>
          <w:lang w:eastAsia="de-DE"/>
        </w:rPr>
        <w:t>Al-Qaida</w:t>
      </w:r>
      <w:r w:rsidR="0055558D">
        <w:rPr>
          <w:rFonts w:eastAsia="Times New Roman" w:cstheme="minorHAnsi"/>
          <w:color w:val="000000" w:themeColor="text1"/>
          <w:sz w:val="20"/>
          <w:szCs w:val="20"/>
          <w:lang w:eastAsia="de-DE"/>
        </w:rPr>
        <w:t>"</w:t>
      </w:r>
      <w:r w:rsidR="0055558D" w:rsidRPr="0046220B">
        <w:rPr>
          <w:rFonts w:eastAsia="Times New Roman" w:cstheme="minorHAnsi"/>
          <w:color w:val="000000" w:themeColor="text1"/>
          <w:sz w:val="20"/>
          <w:szCs w:val="20"/>
          <w:lang w:eastAsia="de-DE"/>
        </w:rPr>
        <w:t xml:space="preserve"> </w:t>
      </w:r>
      <w:r w:rsidRPr="0046220B">
        <w:rPr>
          <w:rFonts w:eastAsia="Times New Roman" w:cstheme="minorHAnsi"/>
          <w:color w:val="000000" w:themeColor="text1"/>
          <w:sz w:val="20"/>
          <w:szCs w:val="20"/>
          <w:lang w:eastAsia="de-DE"/>
        </w:rPr>
        <w:t xml:space="preserve">und </w:t>
      </w:r>
      <w:r w:rsidR="00F26B37">
        <w:rPr>
          <w:b/>
        </w:rPr>
        <w:t>„</w:t>
      </w:r>
      <w:r w:rsidRPr="0046220B">
        <w:rPr>
          <w:rFonts w:eastAsia="Times New Roman" w:cstheme="minorHAnsi"/>
          <w:color w:val="000000" w:themeColor="text1"/>
          <w:sz w:val="20"/>
          <w:szCs w:val="20"/>
          <w:lang w:eastAsia="de-DE"/>
        </w:rPr>
        <w:t>«</w:t>
      </w:r>
      <w:r w:rsidRPr="001674F2">
        <w:rPr>
          <w:rFonts w:eastAsia="Times New Roman" w:cstheme="minorHAnsi"/>
          <w:i/>
          <w:iCs/>
          <w:color w:val="000000" w:themeColor="text1"/>
          <w:sz w:val="20"/>
          <w:szCs w:val="20"/>
          <w:lang w:eastAsia="de-DE"/>
        </w:rPr>
        <w:t>Islamischer Staat</w:t>
      </w:r>
      <w:r w:rsidR="0055558D">
        <w:rPr>
          <w:rFonts w:eastAsia="Times New Roman" w:cstheme="minorHAnsi"/>
          <w:color w:val="000000" w:themeColor="text1"/>
          <w:sz w:val="20"/>
          <w:szCs w:val="20"/>
          <w:lang w:eastAsia="de-DE"/>
        </w:rPr>
        <w:t>"</w:t>
      </w:r>
      <w:r w:rsidR="0055558D" w:rsidRPr="0046220B">
        <w:rPr>
          <w:rFonts w:eastAsia="Times New Roman" w:cstheme="minorHAnsi"/>
          <w:color w:val="000000" w:themeColor="text1"/>
          <w:sz w:val="20"/>
          <w:szCs w:val="20"/>
          <w:lang w:eastAsia="de-DE"/>
        </w:rPr>
        <w:t xml:space="preserve"> </w:t>
      </w:r>
      <w:r w:rsidRPr="0046220B">
        <w:rPr>
          <w:rFonts w:eastAsia="Times New Roman" w:cstheme="minorHAnsi"/>
          <w:color w:val="000000" w:themeColor="text1"/>
          <w:sz w:val="20"/>
          <w:szCs w:val="20"/>
          <w:lang w:eastAsia="de-DE"/>
        </w:rPr>
        <w:t xml:space="preserve">sowie verwandter Organisationen (SR 122) zu einer Haftstrafe von zweieinhalb Jahren wegen der Unterstützung und Propaganda für eine Terrororganisation verurteilt. Das Bundesstrafgericht sah es als erwiesen an, dass </w:t>
      </w:r>
      <w:r w:rsidR="00760CF9">
        <w:rPr>
          <w:rFonts w:eastAsia="Times New Roman" w:cstheme="minorHAnsi"/>
          <w:color w:val="000000" w:themeColor="text1"/>
          <w:sz w:val="20"/>
          <w:szCs w:val="20"/>
          <w:lang w:eastAsia="de-DE"/>
        </w:rPr>
        <w:br/>
      </w:r>
      <w:r w:rsidRPr="0046220B">
        <w:rPr>
          <w:rFonts w:eastAsia="Times New Roman" w:cstheme="minorHAnsi"/>
          <w:color w:val="000000" w:themeColor="text1"/>
          <w:sz w:val="20"/>
          <w:szCs w:val="20"/>
          <w:lang w:eastAsia="de-DE"/>
        </w:rPr>
        <w:t>A.</w:t>
      </w:r>
      <w:r w:rsidR="00C26748">
        <w:rPr>
          <w:rFonts w:eastAsia="Times New Roman" w:cstheme="minorHAnsi"/>
          <w:color w:val="000000" w:themeColor="text1"/>
          <w:sz w:val="20"/>
          <w:szCs w:val="20"/>
          <w:lang w:eastAsia="de-DE"/>
        </w:rPr>
        <w:t xml:space="preserve"> </w:t>
      </w:r>
      <w:r w:rsidRPr="0046220B">
        <w:rPr>
          <w:rFonts w:eastAsia="Times New Roman" w:cstheme="minorHAnsi"/>
          <w:color w:val="000000" w:themeColor="text1"/>
          <w:sz w:val="20"/>
          <w:szCs w:val="20"/>
          <w:lang w:eastAsia="de-DE"/>
        </w:rPr>
        <w:t xml:space="preserve">B. propagandistische und proselytische Aktionen organisiert und den Zugang von ausländischen </w:t>
      </w:r>
      <w:proofErr w:type="gramStart"/>
      <w:r w:rsidRPr="0046220B">
        <w:rPr>
          <w:rFonts w:eastAsia="Times New Roman" w:cstheme="minorHAnsi"/>
          <w:color w:val="000000" w:themeColor="text1"/>
          <w:sz w:val="20"/>
          <w:szCs w:val="20"/>
          <w:lang w:eastAsia="de-DE"/>
        </w:rPr>
        <w:t>Kämpfer:innen</w:t>
      </w:r>
      <w:proofErr w:type="gramEnd"/>
      <w:r w:rsidRPr="0046220B">
        <w:rPr>
          <w:rFonts w:eastAsia="Times New Roman" w:cstheme="minorHAnsi"/>
          <w:color w:val="000000" w:themeColor="text1"/>
          <w:sz w:val="20"/>
          <w:szCs w:val="20"/>
          <w:lang w:eastAsia="de-DE"/>
        </w:rPr>
        <w:t xml:space="preserve"> ins syrisch-irakische Kriegsgebiet gefördert hatte.</w:t>
      </w:r>
      <w:r w:rsidRPr="0046220B">
        <w:rPr>
          <w:rFonts w:cstheme="minorHAnsi"/>
          <w:color w:val="000000" w:themeColor="text1"/>
          <w:sz w:val="20"/>
          <w:szCs w:val="20"/>
        </w:rPr>
        <w:t xml:space="preserve"> </w:t>
      </w:r>
      <w:r w:rsidRPr="0046220B">
        <w:rPr>
          <w:rFonts w:eastAsia="Times New Roman" w:cstheme="minorHAnsi"/>
          <w:color w:val="000000" w:themeColor="text1"/>
          <w:sz w:val="20"/>
          <w:szCs w:val="20"/>
          <w:lang w:eastAsia="de-DE"/>
        </w:rPr>
        <w:t xml:space="preserve">Gestützt auf diese Verurteilung verfügte das SEM 2019 den Entzug des Bürgerrechts, was das Bundesverwaltungsgericht und das Bundesgericht auf Beschwerde hin stützten. Beide Gerichte betonten den </w:t>
      </w:r>
      <w:r w:rsidR="00815B42" w:rsidRPr="0046220B">
        <w:rPr>
          <w:rFonts w:eastAsia="Times New Roman" w:cstheme="minorHAnsi"/>
          <w:color w:val="000000" w:themeColor="text1"/>
          <w:sz w:val="20"/>
          <w:szCs w:val="20"/>
          <w:lang w:eastAsia="de-DE"/>
        </w:rPr>
        <w:t>großen</w:t>
      </w:r>
      <w:r w:rsidRPr="0046220B">
        <w:rPr>
          <w:rFonts w:eastAsia="Times New Roman" w:cstheme="minorHAnsi"/>
          <w:color w:val="000000" w:themeColor="text1"/>
          <w:sz w:val="20"/>
          <w:szCs w:val="20"/>
          <w:lang w:eastAsia="de-DE"/>
        </w:rPr>
        <w:t xml:space="preserve"> Ermessensspielraum des SEM. Sie beurteilten den Entzug des Bürgerrechts als gerechtfertigt, da der Beschwerdeführer eine Terrorgruppe unterstützt hatte, die eine Bedrohung für die innere Sicherheit der Schweiz und der internationalen Gemeinschaft darstellt (vgl. BVGer F-5427/2019 vom 31. Mai 2021 sowie BGer 1C_457/2021 vom 25. März 2022)</w:t>
      </w:r>
      <w:r w:rsidR="007D118C">
        <w:rPr>
          <w:rFonts w:eastAsia="Times New Roman" w:cstheme="minorHAnsi"/>
          <w:color w:val="000000" w:themeColor="text1"/>
          <w:sz w:val="20"/>
          <w:szCs w:val="20"/>
          <w:lang w:eastAsia="de-DE"/>
        </w:rPr>
        <w:t>.</w:t>
      </w:r>
      <w:r w:rsidRPr="0046220B">
        <w:rPr>
          <w:rFonts w:eastAsia="Times New Roman" w:cstheme="minorHAnsi"/>
          <w:color w:val="000000" w:themeColor="text1"/>
          <w:sz w:val="20"/>
          <w:szCs w:val="20"/>
          <w:lang w:eastAsia="de-DE"/>
        </w:rPr>
        <w:t xml:space="preserve"> </w:t>
      </w:r>
    </w:p>
    <w:p w14:paraId="2431E60B" w14:textId="044EBEB7" w:rsidR="003C268C" w:rsidRPr="006B0849" w:rsidRDefault="006B0849" w:rsidP="005F4735">
      <w:pPr>
        <w:pStyle w:val="2Ebene"/>
      </w:pPr>
      <w:bookmarkStart w:id="5" w:name="_Toc188272757"/>
      <w:bookmarkStart w:id="6" w:name="_Toc195609692"/>
      <w:r w:rsidRPr="006B0849">
        <w:t xml:space="preserve">2.1 </w:t>
      </w:r>
      <w:r w:rsidR="003C268C" w:rsidRPr="006B0849">
        <w:t>Fragestellung und Methodik</w:t>
      </w:r>
      <w:bookmarkEnd w:id="5"/>
      <w:bookmarkEnd w:id="6"/>
    </w:p>
    <w:p w14:paraId="29530106" w14:textId="5A210757" w:rsidR="003C268C" w:rsidRPr="0046220B" w:rsidRDefault="003C268C" w:rsidP="00494A98">
      <w:pPr>
        <w:pStyle w:val="StandardWeb"/>
        <w:spacing w:before="120" w:beforeAutospacing="0" w:line="276" w:lineRule="auto"/>
        <w:jc w:val="both"/>
        <w:rPr>
          <w:rFonts w:asciiTheme="minorHAnsi" w:hAnsiTheme="minorHAnsi" w:cstheme="minorHAnsi"/>
          <w:color w:val="000000" w:themeColor="text1"/>
          <w:sz w:val="22"/>
          <w:szCs w:val="20"/>
        </w:rPr>
      </w:pPr>
      <w:r w:rsidRPr="0046220B">
        <w:rPr>
          <w:rFonts w:asciiTheme="minorHAnsi" w:hAnsiTheme="minorHAnsi" w:cstheme="minorHAnsi"/>
          <w:color w:val="000000" w:themeColor="text1"/>
          <w:sz w:val="22"/>
          <w:szCs w:val="20"/>
        </w:rPr>
        <w:t>Dieser Beitrag diskutiert Möglichkeiten, Chancen und Risiken für die Radikalisierungsprävention am Beispiel des Bürgerrechtsentzug</w:t>
      </w:r>
      <w:r w:rsidR="00815B42" w:rsidRPr="0046220B">
        <w:rPr>
          <w:rFonts w:asciiTheme="minorHAnsi" w:hAnsiTheme="minorHAnsi" w:cstheme="minorHAnsi"/>
          <w:color w:val="000000" w:themeColor="text1"/>
          <w:sz w:val="22"/>
          <w:szCs w:val="20"/>
        </w:rPr>
        <w:t>s</w:t>
      </w:r>
      <w:r w:rsidRPr="0046220B">
        <w:rPr>
          <w:rFonts w:asciiTheme="minorHAnsi" w:hAnsiTheme="minorHAnsi" w:cstheme="minorHAnsi"/>
          <w:color w:val="000000" w:themeColor="text1"/>
          <w:sz w:val="22"/>
          <w:szCs w:val="20"/>
        </w:rPr>
        <w:t xml:space="preserve"> für verurteilte </w:t>
      </w:r>
      <w:proofErr w:type="gramStart"/>
      <w:r w:rsidRPr="0046220B">
        <w:rPr>
          <w:rFonts w:asciiTheme="minorHAnsi" w:hAnsiTheme="minorHAnsi" w:cstheme="minorHAnsi"/>
          <w:color w:val="000000" w:themeColor="text1"/>
          <w:sz w:val="22"/>
          <w:szCs w:val="20"/>
        </w:rPr>
        <w:t>Straftäter:innen</w:t>
      </w:r>
      <w:proofErr w:type="gramEnd"/>
      <w:r w:rsidRPr="0046220B">
        <w:rPr>
          <w:rFonts w:asciiTheme="minorHAnsi" w:hAnsiTheme="minorHAnsi" w:cstheme="minorHAnsi"/>
          <w:color w:val="000000" w:themeColor="text1"/>
          <w:sz w:val="22"/>
          <w:szCs w:val="20"/>
        </w:rPr>
        <w:t>. Dabei sollen auch Antworten zum korrekten staatlichen Umgang mit Dschihad-</w:t>
      </w:r>
      <w:proofErr w:type="gramStart"/>
      <w:r w:rsidRPr="0046220B">
        <w:rPr>
          <w:rFonts w:asciiTheme="minorHAnsi" w:hAnsiTheme="minorHAnsi" w:cstheme="minorHAnsi"/>
          <w:color w:val="000000" w:themeColor="text1"/>
          <w:sz w:val="22"/>
          <w:szCs w:val="20"/>
        </w:rPr>
        <w:t>Rückkehrer:innen</w:t>
      </w:r>
      <w:proofErr w:type="gramEnd"/>
      <w:r w:rsidRPr="0046220B">
        <w:rPr>
          <w:rFonts w:asciiTheme="minorHAnsi" w:hAnsiTheme="minorHAnsi" w:cstheme="minorHAnsi"/>
          <w:color w:val="000000" w:themeColor="text1"/>
          <w:sz w:val="22"/>
          <w:szCs w:val="20"/>
        </w:rPr>
        <w:t xml:space="preserve"> – sog. </w:t>
      </w:r>
      <w:r w:rsidRPr="0046220B">
        <w:rPr>
          <w:rFonts w:asciiTheme="minorHAnsi" w:hAnsiTheme="minorHAnsi" w:cstheme="minorHAnsi"/>
          <w:i/>
          <w:iCs/>
          <w:color w:val="000000" w:themeColor="text1"/>
          <w:sz w:val="22"/>
          <w:szCs w:val="20"/>
        </w:rPr>
        <w:t>foreign terrorist fighters</w:t>
      </w:r>
      <w:r w:rsidRPr="0046220B">
        <w:rPr>
          <w:rFonts w:asciiTheme="minorHAnsi" w:hAnsiTheme="minorHAnsi" w:cstheme="minorHAnsi"/>
          <w:color w:val="000000" w:themeColor="text1"/>
          <w:sz w:val="22"/>
          <w:szCs w:val="20"/>
        </w:rPr>
        <w:t xml:space="preserve"> – gefunden werden. Ausgehend von der Diskussion in der Schweiz wird so ein Beitrag zu einem breit diskutierten Thema geleistet, das bislang wenig wissenschaftliche Beachtung fand und auch in Deutschland und Europa aktuell ist. Kernfrage des Beitrags ist es, ob und in welcher Ausgestaltung der Bürgerrechtsentzug als staatliches Instrument in der Radikalisierungsprävention Anwendung finden soll. Aufgrund der Komplexität und Vielschichtigkeit der Problematik werden Schwerpunkte gelegt. Der Beitrag verfolgt das Ziel, einen Überblick zu bieten und eine erste wissenschaftliche Einordnung zu ermöglichen.</w:t>
      </w:r>
    </w:p>
    <w:p w14:paraId="705B1287" w14:textId="2315A9E1" w:rsidR="003C268C" w:rsidRPr="0046220B" w:rsidRDefault="003C268C" w:rsidP="003C268C">
      <w:pPr>
        <w:pStyle w:val="StandardWeb"/>
        <w:spacing w:line="276" w:lineRule="auto"/>
        <w:jc w:val="both"/>
        <w:rPr>
          <w:rFonts w:asciiTheme="minorHAnsi" w:hAnsiTheme="minorHAnsi" w:cstheme="minorHAnsi"/>
          <w:color w:val="000000" w:themeColor="text1"/>
          <w:sz w:val="22"/>
          <w:szCs w:val="20"/>
        </w:rPr>
      </w:pPr>
      <w:r w:rsidRPr="0046220B">
        <w:rPr>
          <w:rFonts w:asciiTheme="minorHAnsi" w:hAnsiTheme="minorHAnsi" w:cstheme="minorHAnsi"/>
          <w:color w:val="000000" w:themeColor="text1"/>
          <w:sz w:val="22"/>
          <w:szCs w:val="20"/>
        </w:rPr>
        <w:t xml:space="preserve">(1) Aus </w:t>
      </w:r>
      <w:r w:rsidRPr="0046220B">
        <w:rPr>
          <w:rFonts w:asciiTheme="minorHAnsi" w:hAnsiTheme="minorHAnsi" w:cstheme="minorHAnsi"/>
          <w:i/>
          <w:iCs/>
          <w:color w:val="000000" w:themeColor="text1"/>
          <w:sz w:val="22"/>
          <w:szCs w:val="20"/>
        </w:rPr>
        <w:t>juristischer Warte</w:t>
      </w:r>
      <w:r w:rsidRPr="0046220B">
        <w:rPr>
          <w:rFonts w:asciiTheme="minorHAnsi" w:hAnsiTheme="minorHAnsi" w:cstheme="minorHAnsi"/>
          <w:color w:val="000000" w:themeColor="text1"/>
          <w:sz w:val="22"/>
          <w:szCs w:val="20"/>
        </w:rPr>
        <w:t xml:space="preserve"> wird der Bürgerrechtsentzug als staatliche </w:t>
      </w:r>
      <w:r w:rsidR="001A1178" w:rsidRPr="0046220B">
        <w:rPr>
          <w:rFonts w:asciiTheme="minorHAnsi" w:hAnsiTheme="minorHAnsi" w:cstheme="minorHAnsi"/>
          <w:color w:val="000000" w:themeColor="text1"/>
          <w:sz w:val="22"/>
          <w:szCs w:val="20"/>
        </w:rPr>
        <w:t>Ma</w:t>
      </w:r>
      <w:r w:rsidR="001A1178">
        <w:rPr>
          <w:rFonts w:asciiTheme="minorHAnsi" w:hAnsiTheme="minorHAnsi" w:cstheme="minorHAnsi"/>
          <w:color w:val="000000" w:themeColor="text1"/>
          <w:sz w:val="22"/>
          <w:szCs w:val="20"/>
        </w:rPr>
        <w:t>ß</w:t>
      </w:r>
      <w:r w:rsidR="001A1178" w:rsidRPr="0046220B">
        <w:rPr>
          <w:rFonts w:asciiTheme="minorHAnsi" w:hAnsiTheme="minorHAnsi" w:cstheme="minorHAnsi"/>
          <w:color w:val="000000" w:themeColor="text1"/>
          <w:sz w:val="22"/>
          <w:szCs w:val="20"/>
        </w:rPr>
        <w:t xml:space="preserve">nahme </w:t>
      </w:r>
      <w:r w:rsidRPr="0046220B">
        <w:rPr>
          <w:rFonts w:asciiTheme="minorHAnsi" w:hAnsiTheme="minorHAnsi" w:cstheme="minorHAnsi"/>
          <w:color w:val="000000" w:themeColor="text1"/>
          <w:sz w:val="22"/>
          <w:szCs w:val="20"/>
        </w:rPr>
        <w:t xml:space="preserve">im Umgang mit radikalisierten und/oder extremistischen </w:t>
      </w:r>
      <w:proofErr w:type="gramStart"/>
      <w:r w:rsidRPr="0046220B">
        <w:rPr>
          <w:rFonts w:asciiTheme="minorHAnsi" w:hAnsiTheme="minorHAnsi" w:cstheme="minorHAnsi"/>
          <w:color w:val="000000" w:themeColor="text1"/>
          <w:sz w:val="22"/>
          <w:szCs w:val="20"/>
        </w:rPr>
        <w:t>Straftäter:innen</w:t>
      </w:r>
      <w:proofErr w:type="gramEnd"/>
      <w:r w:rsidRPr="0046220B">
        <w:rPr>
          <w:rFonts w:asciiTheme="minorHAnsi" w:hAnsiTheme="minorHAnsi" w:cstheme="minorHAnsi"/>
          <w:color w:val="000000" w:themeColor="text1"/>
          <w:sz w:val="22"/>
          <w:szCs w:val="20"/>
        </w:rPr>
        <w:t xml:space="preserve"> anhand nationalstaatlicher, grund- und menschenrechtlicher sowie völkerrechtlicher Normsysteme eingeordnet und erläutert. Ein Fokus liegt auf der Analyse rechtlicher Kritikpunkte. Beleuchtet werden insbesondere Fragen des Grund- und Menschenrechtsschutzes, der </w:t>
      </w:r>
      <w:r w:rsidR="00365721" w:rsidRPr="0046220B">
        <w:rPr>
          <w:rFonts w:asciiTheme="minorHAnsi" w:hAnsiTheme="minorHAnsi" w:cstheme="minorHAnsi"/>
          <w:color w:val="000000" w:themeColor="text1"/>
          <w:sz w:val="22"/>
          <w:szCs w:val="20"/>
        </w:rPr>
        <w:t>Verhältnismä</w:t>
      </w:r>
      <w:r w:rsidR="00365721">
        <w:rPr>
          <w:rFonts w:asciiTheme="minorHAnsi" w:hAnsiTheme="minorHAnsi" w:cstheme="minorHAnsi"/>
          <w:color w:val="000000" w:themeColor="text1"/>
          <w:sz w:val="22"/>
          <w:szCs w:val="20"/>
        </w:rPr>
        <w:t>ß</w:t>
      </w:r>
      <w:r w:rsidR="00365721" w:rsidRPr="0046220B">
        <w:rPr>
          <w:rFonts w:asciiTheme="minorHAnsi" w:hAnsiTheme="minorHAnsi" w:cstheme="minorHAnsi"/>
          <w:color w:val="000000" w:themeColor="text1"/>
          <w:sz w:val="22"/>
          <w:szCs w:val="20"/>
        </w:rPr>
        <w:t xml:space="preserve">igkeit </w:t>
      </w:r>
      <w:r w:rsidRPr="0046220B">
        <w:rPr>
          <w:rFonts w:asciiTheme="minorHAnsi" w:hAnsiTheme="minorHAnsi" w:cstheme="minorHAnsi"/>
          <w:color w:val="000000" w:themeColor="text1"/>
          <w:sz w:val="22"/>
          <w:szCs w:val="20"/>
        </w:rPr>
        <w:t xml:space="preserve">und der Zwecktauglichkeit von Ausbürgerungen. Dabei steht nicht nur die unmittelbar betroffene Täterschaft im Fokus. Skizziert werden auch rechtliche Auswirkungen auf das familiäre Umfeld der Betroffenen sowie auf die innere Sicherheit als geschütztes Rechtsgut. </w:t>
      </w:r>
    </w:p>
    <w:p w14:paraId="70E2AC97" w14:textId="21C0BA3D" w:rsidR="003C268C" w:rsidRPr="0046220B" w:rsidRDefault="003C268C" w:rsidP="003C268C">
      <w:pPr>
        <w:spacing w:line="276" w:lineRule="auto"/>
        <w:jc w:val="both"/>
        <w:rPr>
          <w:rFonts w:eastAsia="Times New Roman" w:cstheme="minorHAnsi"/>
          <w:color w:val="000000" w:themeColor="text1"/>
          <w:szCs w:val="20"/>
          <w:lang w:eastAsia="de-DE"/>
        </w:rPr>
      </w:pPr>
      <w:r w:rsidRPr="0046220B">
        <w:rPr>
          <w:rFonts w:eastAsia="Times New Roman" w:cstheme="minorHAnsi"/>
          <w:color w:val="000000" w:themeColor="text1"/>
          <w:szCs w:val="20"/>
          <w:lang w:eastAsia="de-DE"/>
        </w:rPr>
        <w:t xml:space="preserve">(2) Aus der </w:t>
      </w:r>
      <w:r w:rsidRPr="0046220B">
        <w:rPr>
          <w:rFonts w:eastAsia="Times New Roman" w:cstheme="minorHAnsi"/>
          <w:i/>
          <w:iCs/>
          <w:color w:val="000000" w:themeColor="text1"/>
          <w:szCs w:val="20"/>
          <w:lang w:eastAsia="de-DE"/>
        </w:rPr>
        <w:t>Perspektive der Sozialwissenschaften</w:t>
      </w:r>
      <w:r w:rsidRPr="0046220B">
        <w:rPr>
          <w:rFonts w:eastAsia="Times New Roman" w:cstheme="minorHAnsi"/>
          <w:color w:val="000000" w:themeColor="text1"/>
          <w:szCs w:val="20"/>
          <w:lang w:eastAsia="de-DE"/>
        </w:rPr>
        <w:t xml:space="preserve"> liegt der Fokus auf der Präventionsarbeit. Dabei steht im Zentrum, inwiefern der </w:t>
      </w:r>
      <w:r w:rsidRPr="0046220B">
        <w:rPr>
          <w:rFonts w:cstheme="minorHAnsi"/>
          <w:color w:val="000000" w:themeColor="text1"/>
        </w:rPr>
        <w:t xml:space="preserve">Bürgerrechtsentzug </w:t>
      </w:r>
      <w:r w:rsidR="004F6BDD">
        <w:rPr>
          <w:rFonts w:cstheme="minorHAnsi"/>
          <w:color w:val="000000" w:themeColor="text1"/>
        </w:rPr>
        <w:t xml:space="preserve">ein </w:t>
      </w:r>
      <w:r w:rsidRPr="0046220B">
        <w:rPr>
          <w:rFonts w:cstheme="minorHAnsi"/>
          <w:color w:val="000000" w:themeColor="text1"/>
        </w:rPr>
        <w:t xml:space="preserve">geeignetes Mittel zur Verhinderung von Radikalisierung ist und welche Verantwortung der Staat für mögliche Präventionsangebote an seine </w:t>
      </w:r>
      <w:proofErr w:type="gramStart"/>
      <w:r w:rsidRPr="0046220B">
        <w:rPr>
          <w:rFonts w:cstheme="minorHAnsi"/>
          <w:color w:val="000000" w:themeColor="text1"/>
        </w:rPr>
        <w:t>Bürger:innen</w:t>
      </w:r>
      <w:proofErr w:type="gramEnd"/>
      <w:r w:rsidRPr="0046220B">
        <w:rPr>
          <w:rFonts w:cstheme="minorHAnsi"/>
          <w:color w:val="000000" w:themeColor="text1"/>
        </w:rPr>
        <w:t xml:space="preserve"> hat. Der Beitrag trifft Aussagen zu grundlegenden Widersprüchen zwischen der repressiven Maßnahme des Bürgerrechtsentzugs und (sozial-)pädagogischen Grundsätzen der Präventionsarbeit. Mittels stetem Praxiseinbezug werden </w:t>
      </w:r>
      <w:r w:rsidR="00815B42" w:rsidRPr="0046220B">
        <w:rPr>
          <w:rFonts w:cstheme="minorHAnsi"/>
          <w:color w:val="000000" w:themeColor="text1"/>
        </w:rPr>
        <w:t>abschließend</w:t>
      </w:r>
      <w:r w:rsidRPr="0046220B">
        <w:rPr>
          <w:rFonts w:cstheme="minorHAnsi"/>
          <w:color w:val="000000" w:themeColor="text1"/>
        </w:rPr>
        <w:t xml:space="preserve"> anwendungsorientierte Alternativen zum Bürgerrechtsentzug charakterisiert und anhand des Einführungsbeispiels diskutiert</w:t>
      </w:r>
      <w:r w:rsidRPr="0046220B">
        <w:rPr>
          <w:rFonts w:eastAsia="Times New Roman" w:cstheme="minorHAnsi"/>
          <w:color w:val="000000" w:themeColor="text1"/>
          <w:szCs w:val="20"/>
          <w:lang w:eastAsia="de-DE"/>
        </w:rPr>
        <w:t>.</w:t>
      </w:r>
    </w:p>
    <w:p w14:paraId="43041E1B" w14:textId="57E844F2" w:rsidR="003C268C" w:rsidRPr="0046220B" w:rsidRDefault="005F4735" w:rsidP="005F4735">
      <w:pPr>
        <w:pStyle w:val="1Ebene"/>
      </w:pPr>
      <w:bookmarkStart w:id="7" w:name="_Toc188272758"/>
      <w:bookmarkStart w:id="8" w:name="_Toc195609693"/>
      <w:r>
        <w:t xml:space="preserve">3. </w:t>
      </w:r>
      <w:r w:rsidR="003C268C" w:rsidRPr="0046220B">
        <w:t>Juristische Einordnung</w:t>
      </w:r>
      <w:bookmarkEnd w:id="7"/>
      <w:bookmarkEnd w:id="8"/>
      <w:r w:rsidR="003C268C" w:rsidRPr="0046220B">
        <w:t xml:space="preserve"> </w:t>
      </w:r>
    </w:p>
    <w:p w14:paraId="1003D864" w14:textId="49741FD5" w:rsidR="003C268C" w:rsidRPr="0046220B" w:rsidRDefault="005F4735" w:rsidP="005F4735">
      <w:pPr>
        <w:pStyle w:val="2Ebene"/>
      </w:pPr>
      <w:bookmarkStart w:id="9" w:name="_Toc188272759"/>
      <w:bookmarkStart w:id="10" w:name="_Toc195609694"/>
      <w:r>
        <w:t xml:space="preserve">3.1 </w:t>
      </w:r>
      <w:r w:rsidR="003C268C" w:rsidRPr="0046220B">
        <w:t>Einführung</w:t>
      </w:r>
      <w:bookmarkEnd w:id="9"/>
      <w:bookmarkEnd w:id="10"/>
      <w:r w:rsidR="003C268C" w:rsidRPr="0046220B">
        <w:t xml:space="preserve"> </w:t>
      </w:r>
    </w:p>
    <w:p w14:paraId="7E911AFD" w14:textId="40238380" w:rsidR="003C268C" w:rsidRPr="0046220B" w:rsidRDefault="003C268C" w:rsidP="003C268C">
      <w:pPr>
        <w:spacing w:before="120" w:line="276" w:lineRule="auto"/>
        <w:jc w:val="both"/>
        <w:rPr>
          <w:rFonts w:eastAsia="Times New Roman" w:cstheme="minorHAnsi"/>
          <w:color w:val="000000" w:themeColor="text1"/>
          <w:szCs w:val="20"/>
          <w:lang w:eastAsia="de-DE"/>
        </w:rPr>
      </w:pPr>
      <w:r w:rsidRPr="0046220B">
        <w:rPr>
          <w:rFonts w:eastAsia="Times New Roman" w:cstheme="minorHAnsi"/>
          <w:color w:val="000000" w:themeColor="text1"/>
          <w:szCs w:val="20"/>
          <w:lang w:eastAsia="de-DE"/>
        </w:rPr>
        <w:t xml:space="preserve">Aus rechthistorischer Perspektive ist die Ausbürgerung </w:t>
      </w:r>
      <w:r w:rsidR="00253BBE" w:rsidRPr="0046220B">
        <w:rPr>
          <w:rFonts w:eastAsia="Times New Roman" w:cstheme="minorHAnsi"/>
          <w:color w:val="000000" w:themeColor="text1"/>
          <w:szCs w:val="20"/>
          <w:lang w:eastAsia="de-DE"/>
        </w:rPr>
        <w:t>extremistische</w:t>
      </w:r>
      <w:r w:rsidR="00253BBE">
        <w:rPr>
          <w:rFonts w:eastAsia="Times New Roman" w:cstheme="minorHAnsi"/>
          <w:color w:val="000000" w:themeColor="text1"/>
          <w:szCs w:val="20"/>
          <w:lang w:eastAsia="de-DE"/>
        </w:rPr>
        <w:t>r</w:t>
      </w:r>
      <w:r w:rsidR="00253BBE" w:rsidRPr="0046220B">
        <w:rPr>
          <w:rFonts w:eastAsia="Times New Roman" w:cstheme="minorHAnsi"/>
          <w:color w:val="000000" w:themeColor="text1"/>
          <w:szCs w:val="20"/>
          <w:lang w:eastAsia="de-DE"/>
        </w:rPr>
        <w:t xml:space="preserve"> </w:t>
      </w:r>
      <w:r w:rsidRPr="0046220B">
        <w:rPr>
          <w:rFonts w:eastAsia="Times New Roman" w:cstheme="minorHAnsi"/>
          <w:color w:val="000000" w:themeColor="text1"/>
          <w:szCs w:val="20"/>
          <w:lang w:eastAsia="de-DE"/>
        </w:rPr>
        <w:t xml:space="preserve">und/oder </w:t>
      </w:r>
      <w:r w:rsidR="00253BBE" w:rsidRPr="0046220B">
        <w:rPr>
          <w:rFonts w:eastAsia="Times New Roman" w:cstheme="minorHAnsi"/>
          <w:color w:val="000000" w:themeColor="text1"/>
          <w:szCs w:val="20"/>
          <w:lang w:eastAsia="de-DE"/>
        </w:rPr>
        <w:t>radikalisierte</w:t>
      </w:r>
      <w:r w:rsidR="00253BBE">
        <w:rPr>
          <w:rFonts w:eastAsia="Times New Roman" w:cstheme="minorHAnsi"/>
          <w:color w:val="000000" w:themeColor="text1"/>
          <w:szCs w:val="20"/>
          <w:lang w:eastAsia="de-DE"/>
        </w:rPr>
        <w:t>r</w:t>
      </w:r>
      <w:r w:rsidR="00253BBE" w:rsidRPr="0046220B">
        <w:rPr>
          <w:rFonts w:eastAsia="Times New Roman" w:cstheme="minorHAnsi"/>
          <w:color w:val="000000" w:themeColor="text1"/>
          <w:szCs w:val="20"/>
          <w:lang w:eastAsia="de-DE"/>
        </w:rPr>
        <w:t xml:space="preserve"> </w:t>
      </w:r>
      <w:proofErr w:type="gramStart"/>
      <w:r w:rsidRPr="0046220B">
        <w:rPr>
          <w:rFonts w:eastAsia="Times New Roman" w:cstheme="minorHAnsi"/>
          <w:color w:val="000000" w:themeColor="text1"/>
          <w:szCs w:val="20"/>
          <w:lang w:eastAsia="de-DE"/>
        </w:rPr>
        <w:t>Straftäter:innen</w:t>
      </w:r>
      <w:proofErr w:type="gramEnd"/>
      <w:r w:rsidRPr="0046220B">
        <w:rPr>
          <w:rFonts w:eastAsia="Times New Roman" w:cstheme="minorHAnsi"/>
          <w:color w:val="000000" w:themeColor="text1"/>
          <w:szCs w:val="20"/>
          <w:lang w:eastAsia="de-DE"/>
        </w:rPr>
        <w:t xml:space="preserve"> mit Schweizer Pass keine Selbstverständlichkeit. Die Schweizer Bürgerrechtsgesetze </w:t>
      </w:r>
      <w:r w:rsidRPr="0046220B">
        <w:rPr>
          <w:rFonts w:eastAsia="Times New Roman" w:cstheme="minorHAnsi"/>
          <w:color w:val="000000" w:themeColor="text1"/>
          <w:szCs w:val="20"/>
          <w:lang w:eastAsia="de-DE"/>
        </w:rPr>
        <w:lastRenderedPageBreak/>
        <w:t xml:space="preserve">gingen bis 1940 vom Prinzip der Unverlierbarkeit des Bürgerrechts aus </w:t>
      </w:r>
      <w:r w:rsidRPr="0046220B">
        <w:rPr>
          <w:rFonts w:cstheme="minorHAnsi"/>
          <w:color w:val="000000" w:themeColor="text1"/>
        </w:rPr>
        <w:t>(vgl. Schwallbach 2016: 30 ff.; von Rütte 2023: 3;</w:t>
      </w:r>
      <w:r w:rsidRPr="0046220B">
        <w:rPr>
          <w:rFonts w:eastAsia="Times New Roman" w:cstheme="minorHAnsi"/>
          <w:color w:val="000000" w:themeColor="text1"/>
          <w:szCs w:val="20"/>
          <w:lang w:eastAsia="de-DE"/>
        </w:rPr>
        <w:t xml:space="preserve"> Achermann 2015: 4</w:t>
      </w:r>
      <w:r w:rsidRPr="0046220B">
        <w:rPr>
          <w:rFonts w:cstheme="minorHAnsi"/>
          <w:color w:val="000000" w:themeColor="text1"/>
        </w:rPr>
        <w:t>)</w:t>
      </w:r>
      <w:r w:rsidRPr="0046220B">
        <w:rPr>
          <w:rFonts w:eastAsia="Times New Roman" w:cstheme="minorHAnsi"/>
          <w:color w:val="000000" w:themeColor="text1"/>
          <w:szCs w:val="20"/>
          <w:lang w:eastAsia="de-DE"/>
        </w:rPr>
        <w:t xml:space="preserve">. Weder das erste Bundesgesetz von 1876 noch spätere Kodifikationen kannten Regelungen zum Bürgerrechtsentzug für </w:t>
      </w:r>
      <w:proofErr w:type="gramStart"/>
      <w:r w:rsidRPr="0046220B">
        <w:rPr>
          <w:rFonts w:eastAsia="Times New Roman" w:cstheme="minorHAnsi"/>
          <w:color w:val="000000" w:themeColor="text1"/>
          <w:szCs w:val="20"/>
          <w:lang w:eastAsia="de-DE"/>
        </w:rPr>
        <w:t>Straftäter:innen</w:t>
      </w:r>
      <w:proofErr w:type="gramEnd"/>
      <w:r w:rsidRPr="0046220B">
        <w:rPr>
          <w:rFonts w:eastAsia="Times New Roman" w:cstheme="minorHAnsi"/>
          <w:color w:val="000000" w:themeColor="text1"/>
          <w:szCs w:val="20"/>
          <w:lang w:eastAsia="de-DE"/>
        </w:rPr>
        <w:t>. Folglich war der Verlust des Bürgerrechts in der Schweiz während Jahrzehnten ausgeschlossen.</w:t>
      </w:r>
    </w:p>
    <w:p w14:paraId="1FC551A0" w14:textId="1105123C" w:rsidR="003C268C" w:rsidRPr="0046220B" w:rsidRDefault="003C268C" w:rsidP="003C268C">
      <w:pPr>
        <w:spacing w:before="120" w:line="276" w:lineRule="auto"/>
        <w:jc w:val="both"/>
        <w:rPr>
          <w:rFonts w:eastAsia="Times New Roman" w:cstheme="minorHAnsi"/>
          <w:color w:val="000000" w:themeColor="text1"/>
          <w:szCs w:val="20"/>
          <w:lang w:eastAsia="de-DE"/>
        </w:rPr>
      </w:pPr>
      <w:r w:rsidRPr="0046220B">
        <w:rPr>
          <w:rFonts w:eastAsia="Times New Roman" w:cstheme="minorHAnsi"/>
          <w:color w:val="000000" w:themeColor="text1"/>
          <w:szCs w:val="20"/>
          <w:lang w:eastAsia="de-DE"/>
        </w:rPr>
        <w:t xml:space="preserve">Mittels Notverordnung läutete die Schweizer Landesregierung 1940 den Paradigmenwechsel ein. Fortan war es den Behörden erlaubt, </w:t>
      </w:r>
      <w:proofErr w:type="gramStart"/>
      <w:r w:rsidRPr="0046220B">
        <w:rPr>
          <w:rFonts w:eastAsia="Times New Roman" w:cstheme="minorHAnsi"/>
          <w:color w:val="000000" w:themeColor="text1"/>
          <w:szCs w:val="20"/>
          <w:lang w:eastAsia="de-DE"/>
        </w:rPr>
        <w:t>Doppelbürger:innen</w:t>
      </w:r>
      <w:proofErr w:type="gramEnd"/>
      <w:r w:rsidRPr="0046220B">
        <w:rPr>
          <w:rFonts w:eastAsia="Times New Roman" w:cstheme="minorHAnsi"/>
          <w:color w:val="000000" w:themeColor="text1"/>
          <w:szCs w:val="20"/>
          <w:lang w:eastAsia="de-DE"/>
        </w:rPr>
        <w:t xml:space="preserve"> das Schweizer Bürgerrecht zu entziehen, deren Verhalten den Interessen oder dem Ansehen der Schweiz erheblich zuwiderliefen (vgl. Schwallbach 2016: 51, 68; Achermann 2015: 5). Mit unverändertem Wortlaut existierte diese Norm in der Schweiz bis in die 1950er Jahre und wäre so – theoretisch – anwendbar gewesen. 1940 interpretierte die Landesregierung diese Notbestimmung als </w:t>
      </w:r>
      <w:r w:rsidR="00815B42" w:rsidRPr="0046220B">
        <w:rPr>
          <w:rFonts w:eastAsia="Times New Roman" w:cstheme="minorHAnsi"/>
          <w:color w:val="000000" w:themeColor="text1"/>
          <w:szCs w:val="20"/>
          <w:lang w:eastAsia="de-DE"/>
        </w:rPr>
        <w:t>Maßnahme</w:t>
      </w:r>
      <w:r w:rsidRPr="0046220B">
        <w:rPr>
          <w:rFonts w:eastAsia="Times New Roman" w:cstheme="minorHAnsi"/>
          <w:color w:val="000000" w:themeColor="text1"/>
          <w:szCs w:val="20"/>
          <w:lang w:eastAsia="de-DE"/>
        </w:rPr>
        <w:t xml:space="preserve"> gegen Auslandschweizer:innen, die gegen die Sicherheit oder die politische Unabhängigkeit des Landes agierten und sich durch ihr Verhalten des Schweizer Bürgerrechts unwürdig erwiesen.</w:t>
      </w:r>
      <w:r w:rsidRPr="0046220B">
        <w:rPr>
          <w:rStyle w:val="Funotenzeichen"/>
          <w:rFonts w:eastAsia="Times New Roman" w:cstheme="minorHAnsi"/>
          <w:color w:val="000000" w:themeColor="text1"/>
          <w:szCs w:val="20"/>
          <w:lang w:eastAsia="de-DE"/>
        </w:rPr>
        <w:footnoteReference w:id="8"/>
      </w:r>
      <w:r w:rsidRPr="0046220B">
        <w:rPr>
          <w:rFonts w:eastAsia="Times New Roman" w:cstheme="minorHAnsi"/>
          <w:color w:val="000000" w:themeColor="text1"/>
          <w:szCs w:val="20"/>
          <w:lang w:eastAsia="de-DE"/>
        </w:rPr>
        <w:t xml:space="preserve"> Die historische Ausbürgerungspraxis der Schweiz war unmittelbar mit der nationalsozialistischen Bedrohung verknüpft (vgl. Schwallbach 2016: 68 ff., 129 ff.; Caroni et al., 2022: 1651; Achermann 2015: 6 f.; SRF 2024; Fritzsche et al. in: NZZ 2024; Hanimann in: Republik 2019). Ein Bürgerrechtsentzug fand nur bei Personen Anwendung, die zur Zeit des Dritten Reichs gegen die Schweiz tätig wurden und die Sicherheit des Landes gefährdeten.</w:t>
      </w:r>
    </w:p>
    <w:p w14:paraId="6FD92863" w14:textId="369D1A69" w:rsidR="003C268C" w:rsidRPr="0046220B" w:rsidRDefault="003C268C" w:rsidP="003C268C">
      <w:pPr>
        <w:spacing w:before="120" w:line="276" w:lineRule="auto"/>
        <w:jc w:val="both"/>
        <w:rPr>
          <w:rFonts w:eastAsia="Times New Roman" w:cstheme="minorHAnsi"/>
          <w:color w:val="000000" w:themeColor="text1"/>
          <w:szCs w:val="20"/>
          <w:lang w:eastAsia="de-DE"/>
        </w:rPr>
      </w:pPr>
      <w:r w:rsidRPr="0046220B">
        <w:rPr>
          <w:rFonts w:eastAsia="Times New Roman" w:cstheme="minorHAnsi"/>
          <w:color w:val="000000" w:themeColor="text1"/>
          <w:szCs w:val="20"/>
          <w:lang w:eastAsia="de-DE"/>
        </w:rPr>
        <w:t xml:space="preserve">Bis 2014 blieb die Norm somit ohne Anwendung. Dieses Schattendasein ist angesichts der heutigen Stimmungslage erstaunlich. So schien die Ausbürgerung weder bei bestehenden oder befürchteten Bedrohungen der inneren oder </w:t>
      </w:r>
      <w:r w:rsidR="00815B42" w:rsidRPr="0046220B">
        <w:rPr>
          <w:rFonts w:eastAsia="Times New Roman" w:cstheme="minorHAnsi"/>
          <w:color w:val="000000" w:themeColor="text1"/>
          <w:szCs w:val="20"/>
          <w:lang w:eastAsia="de-DE"/>
        </w:rPr>
        <w:t>äußeren</w:t>
      </w:r>
      <w:r w:rsidRPr="0046220B">
        <w:rPr>
          <w:rFonts w:eastAsia="Times New Roman" w:cstheme="minorHAnsi"/>
          <w:color w:val="000000" w:themeColor="text1"/>
          <w:szCs w:val="20"/>
          <w:lang w:eastAsia="de-DE"/>
        </w:rPr>
        <w:t xml:space="preserve"> Sicherheit zu Zeiten des Kalten Krieges und des Kommunismus als probates Mittel. Auch im Kontext extremistischer Straftaten durch die RAF, die PLO oder gewalttätiger Unabhängigkeitsbewegungen tauchte sie nie als Option auf. 2014 läutete die Wende ein, als eine sicherheitspolitische Diskussion zu Art. 42 BüG als Mittel zur Terror-, Dschihadismus- und Extremismusbekämpfung sowie zur adäquaten Reaktion auf (Schweizer) </w:t>
      </w:r>
      <w:proofErr w:type="gramStart"/>
      <w:r w:rsidRPr="0046220B">
        <w:rPr>
          <w:rFonts w:eastAsia="Times New Roman" w:cstheme="minorHAnsi"/>
          <w:color w:val="000000" w:themeColor="text1"/>
          <w:szCs w:val="20"/>
          <w:lang w:eastAsia="de-DE"/>
        </w:rPr>
        <w:t>Kämpfer:innen</w:t>
      </w:r>
      <w:proofErr w:type="gramEnd"/>
      <w:r w:rsidRPr="0046220B">
        <w:rPr>
          <w:rFonts w:eastAsia="Times New Roman" w:cstheme="minorHAnsi"/>
          <w:color w:val="000000" w:themeColor="text1"/>
          <w:szCs w:val="20"/>
          <w:lang w:eastAsia="de-DE"/>
        </w:rPr>
        <w:t xml:space="preserve"> des sog. </w:t>
      </w:r>
      <w:r w:rsidRPr="001674F2">
        <w:rPr>
          <w:rFonts w:eastAsia="Times New Roman" w:cstheme="minorHAnsi"/>
          <w:i/>
          <w:iCs/>
          <w:color w:val="000000" w:themeColor="text1"/>
          <w:szCs w:val="20"/>
          <w:lang w:eastAsia="de-DE"/>
        </w:rPr>
        <w:t>Islamischen Staats</w:t>
      </w:r>
      <w:r w:rsidRPr="0046220B">
        <w:rPr>
          <w:rFonts w:eastAsia="Times New Roman" w:cstheme="minorHAnsi"/>
          <w:color w:val="000000" w:themeColor="text1"/>
          <w:szCs w:val="20"/>
          <w:lang w:eastAsia="de-DE"/>
        </w:rPr>
        <w:t xml:space="preserve"> entbrannte </w:t>
      </w:r>
      <w:r w:rsidRPr="0046220B">
        <w:rPr>
          <w:rFonts w:cstheme="minorHAnsi"/>
          <w:color w:val="000000" w:themeColor="text1"/>
        </w:rPr>
        <w:t>(vgl. von Rütte 2023: 5;</w:t>
      </w:r>
      <w:r w:rsidRPr="0046220B">
        <w:rPr>
          <w:rFonts w:eastAsia="Times New Roman" w:cstheme="minorHAnsi"/>
          <w:color w:val="000000" w:themeColor="text1"/>
          <w:szCs w:val="20"/>
          <w:lang w:eastAsia="de-DE"/>
        </w:rPr>
        <w:t xml:space="preserve"> Achermann 2015: 8 f.; Hanimann in: Republik 2019</w:t>
      </w:r>
      <w:r w:rsidRPr="0046220B">
        <w:rPr>
          <w:rFonts w:cstheme="minorHAnsi"/>
          <w:color w:val="000000" w:themeColor="text1"/>
        </w:rPr>
        <w:t>)</w:t>
      </w:r>
      <w:r w:rsidRPr="0046220B">
        <w:rPr>
          <w:rFonts w:eastAsia="Times New Roman" w:cstheme="minorHAnsi"/>
          <w:color w:val="000000" w:themeColor="text1"/>
          <w:szCs w:val="20"/>
          <w:lang w:eastAsia="de-DE"/>
        </w:rPr>
        <w:t xml:space="preserve">. </w:t>
      </w:r>
    </w:p>
    <w:p w14:paraId="78EF3FD1" w14:textId="0061BB2D" w:rsidR="003C268C" w:rsidRPr="0046220B" w:rsidRDefault="003C268C" w:rsidP="003C268C">
      <w:pPr>
        <w:spacing w:before="120" w:line="276" w:lineRule="auto"/>
        <w:jc w:val="both"/>
        <w:rPr>
          <w:rFonts w:eastAsia="Times New Roman" w:cstheme="minorHAnsi"/>
          <w:color w:val="000000" w:themeColor="text1"/>
          <w:szCs w:val="20"/>
          <w:lang w:eastAsia="de-DE"/>
        </w:rPr>
      </w:pPr>
      <w:r w:rsidRPr="0046220B">
        <w:rPr>
          <w:rFonts w:eastAsia="Times New Roman" w:cstheme="minorHAnsi"/>
          <w:color w:val="000000" w:themeColor="text1"/>
          <w:szCs w:val="20"/>
          <w:lang w:eastAsia="de-DE"/>
        </w:rPr>
        <w:t>Durch diesen Richtungswechsel stellt sich die Frage, inwiefern der Bürgerrechtsentzug als Mittel der Prävention eingesetzt werden kann. Auf Prozessebene befindet sich der Bürgerrechtsentz</w:t>
      </w:r>
      <w:r w:rsidR="005B1129">
        <w:rPr>
          <w:rFonts w:eastAsia="Times New Roman" w:cstheme="minorHAnsi"/>
          <w:color w:val="000000" w:themeColor="text1"/>
          <w:szCs w:val="20"/>
          <w:lang w:eastAsia="de-DE"/>
        </w:rPr>
        <w:t>u</w:t>
      </w:r>
      <w:r w:rsidRPr="0046220B">
        <w:rPr>
          <w:rFonts w:eastAsia="Times New Roman" w:cstheme="minorHAnsi"/>
          <w:color w:val="000000" w:themeColor="text1"/>
          <w:szCs w:val="20"/>
          <w:lang w:eastAsia="de-DE"/>
        </w:rPr>
        <w:t>g auf der Ebene der Tertiärprävention. Doch kann diese Maßnahme tatsächlich zu mehr Sicherheit in einem Land führen und ist sie vereinbar mit den Grundsätzen der Präventionsarbeit?</w:t>
      </w:r>
    </w:p>
    <w:p w14:paraId="0D703DAC" w14:textId="52935F10" w:rsidR="003C268C" w:rsidRPr="0046220B" w:rsidRDefault="003C268C" w:rsidP="003C268C">
      <w:pPr>
        <w:spacing w:before="120" w:line="276" w:lineRule="auto"/>
        <w:jc w:val="both"/>
        <w:rPr>
          <w:rFonts w:eastAsia="Times New Roman" w:cstheme="minorHAnsi"/>
          <w:color w:val="000000" w:themeColor="text1"/>
          <w:szCs w:val="20"/>
          <w:lang w:eastAsia="de-DE"/>
        </w:rPr>
      </w:pPr>
      <w:r w:rsidRPr="0046220B">
        <w:rPr>
          <w:rFonts w:eastAsia="Times New Roman" w:cstheme="minorHAnsi"/>
          <w:color w:val="000000" w:themeColor="text1"/>
          <w:szCs w:val="20"/>
          <w:lang w:eastAsia="de-DE"/>
        </w:rPr>
        <w:t xml:space="preserve">Der vorliegende Beitrag fokussiert in einem ersten Teil auf die juristischen Rahmenbedingungen für den Entzug des Schweizer Bürgerrechts. Hierfür werden die geltenden nationalen und völkerrechtlichen Rechtsgrundlagen illustriert und der aktuelle Diskussionsstand im europäischen Raum erläutert. </w:t>
      </w:r>
      <w:r w:rsidR="00815B42" w:rsidRPr="0046220B">
        <w:rPr>
          <w:rFonts w:eastAsia="Times New Roman" w:cstheme="minorHAnsi"/>
          <w:color w:val="000000" w:themeColor="text1"/>
          <w:szCs w:val="20"/>
          <w:lang w:eastAsia="de-DE"/>
        </w:rPr>
        <w:t>Anschließend</w:t>
      </w:r>
      <w:r w:rsidRPr="0046220B">
        <w:rPr>
          <w:rFonts w:eastAsia="Times New Roman" w:cstheme="minorHAnsi"/>
          <w:color w:val="000000" w:themeColor="text1"/>
          <w:szCs w:val="20"/>
          <w:lang w:eastAsia="de-DE"/>
        </w:rPr>
        <w:t xml:space="preserve"> werden ausgewählte grund- und menschenrechtliche Kritikpunkte am Bürgerrechtsentzug diskutiert (vgl. </w:t>
      </w:r>
      <w:r w:rsidRPr="0046220B">
        <w:rPr>
          <w:rFonts w:cstheme="minorHAnsi"/>
          <w:color w:val="000000" w:themeColor="text1"/>
        </w:rPr>
        <w:t>Kälin, Künzli: 2019: 635;</w:t>
      </w:r>
      <w:r w:rsidRPr="0046220B">
        <w:rPr>
          <w:rFonts w:eastAsia="Times New Roman" w:cstheme="minorHAnsi"/>
          <w:color w:val="000000" w:themeColor="text1"/>
          <w:szCs w:val="20"/>
          <w:lang w:eastAsia="de-DE"/>
        </w:rPr>
        <w:t xml:space="preserve"> Achermann 2015: 10; Jikhareva in: WOZ 2019</w:t>
      </w:r>
      <w:r w:rsidRPr="0046220B">
        <w:rPr>
          <w:rFonts w:cstheme="minorHAnsi"/>
          <w:color w:val="000000" w:themeColor="text1"/>
        </w:rPr>
        <w:t>)</w:t>
      </w:r>
      <w:r w:rsidRPr="0046220B">
        <w:rPr>
          <w:rFonts w:eastAsia="Times New Roman" w:cstheme="minorHAnsi"/>
          <w:color w:val="000000" w:themeColor="text1"/>
          <w:szCs w:val="20"/>
          <w:lang w:eastAsia="de-DE"/>
        </w:rPr>
        <w:t xml:space="preserve">. Anhand der Erkenntnisse sollen nachfolgend mögliche Grenzen des Bürgerrechtsentzugs zur Extremismusbekämpfung und -prävention aufgezeigt werden. Diese Erkenntnisse dienen als </w:t>
      </w:r>
      <w:r w:rsidRPr="0046220B">
        <w:rPr>
          <w:rFonts w:eastAsia="Times New Roman" w:cstheme="minorHAnsi"/>
          <w:color w:val="000000" w:themeColor="text1"/>
          <w:szCs w:val="20"/>
          <w:lang w:eastAsia="de-DE"/>
        </w:rPr>
        <w:lastRenderedPageBreak/>
        <w:t xml:space="preserve">Grundlage, um in einem nächsten Schritt zunächst Aussagen zu treffen, ob die </w:t>
      </w:r>
      <w:r w:rsidR="00815B42" w:rsidRPr="0046220B">
        <w:rPr>
          <w:rFonts w:eastAsia="Times New Roman" w:cstheme="minorHAnsi"/>
          <w:color w:val="000000" w:themeColor="text1"/>
          <w:szCs w:val="20"/>
          <w:lang w:eastAsia="de-DE"/>
        </w:rPr>
        <w:t>Maßnahme</w:t>
      </w:r>
      <w:r w:rsidRPr="0046220B">
        <w:rPr>
          <w:rFonts w:eastAsia="Times New Roman" w:cstheme="minorHAnsi"/>
          <w:color w:val="000000" w:themeColor="text1"/>
          <w:szCs w:val="20"/>
          <w:lang w:eastAsia="de-DE"/>
        </w:rPr>
        <w:t xml:space="preserve"> geeignet ist zur Herstellung von innerer Sicherheit und welche Alternativen allenfalls zu bevorzugen sind. </w:t>
      </w:r>
    </w:p>
    <w:p w14:paraId="25FAB5FE" w14:textId="1F9F4DF8" w:rsidR="003C268C" w:rsidRPr="0046220B" w:rsidRDefault="005F4735" w:rsidP="005F4735">
      <w:pPr>
        <w:pStyle w:val="2Ebene"/>
      </w:pPr>
      <w:bookmarkStart w:id="11" w:name="_Toc188272760"/>
      <w:bookmarkStart w:id="12" w:name="_Toc195609695"/>
      <w:r>
        <w:t xml:space="preserve">3.2 </w:t>
      </w:r>
      <w:r w:rsidR="003C268C" w:rsidRPr="0046220B">
        <w:t>Ausbürgerung als Instrument der wehrhaften Demokratie</w:t>
      </w:r>
      <w:bookmarkEnd w:id="11"/>
      <w:bookmarkEnd w:id="12"/>
    </w:p>
    <w:p w14:paraId="1E24A831" w14:textId="19F6ACAD" w:rsidR="003C268C" w:rsidRPr="005F4735" w:rsidRDefault="005F4735" w:rsidP="005F4735">
      <w:pPr>
        <w:pStyle w:val="3Ebene"/>
      </w:pPr>
      <w:bookmarkStart w:id="13" w:name="_Toc188272761"/>
      <w:bookmarkStart w:id="14" w:name="_Toc195609696"/>
      <w:r w:rsidRPr="005F4735">
        <w:t xml:space="preserve">3.2.1 </w:t>
      </w:r>
      <w:r w:rsidR="003C268C" w:rsidRPr="005F4735">
        <w:t>Ausbürgerung nach Schweizer Recht</w:t>
      </w:r>
      <w:bookmarkEnd w:id="13"/>
      <w:bookmarkEnd w:id="14"/>
    </w:p>
    <w:p w14:paraId="7F552E3F" w14:textId="08D65883" w:rsidR="003C268C" w:rsidRPr="0046220B" w:rsidRDefault="003C268C" w:rsidP="003C268C">
      <w:pPr>
        <w:spacing w:before="120" w:line="276" w:lineRule="auto"/>
        <w:jc w:val="both"/>
        <w:rPr>
          <w:rFonts w:eastAsia="Times New Roman" w:cstheme="minorHAnsi"/>
          <w:color w:val="000000" w:themeColor="text1"/>
          <w:szCs w:val="20"/>
          <w:lang w:eastAsia="de-DE"/>
        </w:rPr>
      </w:pPr>
      <w:r w:rsidRPr="0046220B">
        <w:rPr>
          <w:rFonts w:eastAsia="Times New Roman" w:cstheme="minorHAnsi"/>
          <w:color w:val="000000" w:themeColor="text1"/>
          <w:szCs w:val="20"/>
          <w:lang w:eastAsia="de-DE"/>
        </w:rPr>
        <w:t xml:space="preserve">Wie anspruchsvoll und hürdenreich der Erwerb des Schweizer Bürgerrechts, so vielfältig die Konstellationen, den </w:t>
      </w:r>
      <w:r w:rsidR="00C7294F">
        <w:rPr>
          <w:rFonts w:eastAsia="Times New Roman" w:cstheme="minorHAnsi"/>
          <w:color w:val="000000" w:themeColor="text1"/>
          <w:szCs w:val="20"/>
          <w:lang w:eastAsia="de-DE"/>
        </w:rPr>
        <w:t>„</w:t>
      </w:r>
      <w:r w:rsidRPr="0046220B">
        <w:rPr>
          <w:rFonts w:eastAsia="Times New Roman" w:cstheme="minorHAnsi"/>
          <w:color w:val="000000" w:themeColor="text1"/>
          <w:szCs w:val="20"/>
          <w:lang w:eastAsia="de-DE"/>
        </w:rPr>
        <w:t>roten Pass</w:t>
      </w:r>
      <w:r w:rsidR="00C7294F">
        <w:rPr>
          <w:rFonts w:eastAsia="Times New Roman" w:cstheme="minorHAnsi"/>
          <w:color w:val="000000" w:themeColor="text1"/>
          <w:szCs w:val="20"/>
          <w:lang w:eastAsia="de-DE"/>
        </w:rPr>
        <w:t>“</w:t>
      </w:r>
      <w:r w:rsidRPr="0046220B">
        <w:rPr>
          <w:rFonts w:eastAsia="Times New Roman" w:cstheme="minorHAnsi"/>
          <w:color w:val="000000" w:themeColor="text1"/>
          <w:szCs w:val="20"/>
          <w:lang w:eastAsia="de-DE"/>
        </w:rPr>
        <w:t xml:space="preserve"> zu verlieren.</w:t>
      </w:r>
      <w:r w:rsidRPr="0046220B">
        <w:rPr>
          <w:rStyle w:val="Funotenzeichen"/>
          <w:rFonts w:eastAsia="Times New Roman" w:cstheme="minorHAnsi"/>
          <w:color w:val="000000" w:themeColor="text1"/>
          <w:szCs w:val="20"/>
          <w:lang w:eastAsia="de-DE"/>
        </w:rPr>
        <w:footnoteReference w:id="9"/>
      </w:r>
      <w:r w:rsidRPr="0046220B">
        <w:rPr>
          <w:rFonts w:eastAsia="Times New Roman" w:cstheme="minorHAnsi"/>
          <w:color w:val="000000" w:themeColor="text1"/>
          <w:szCs w:val="20"/>
          <w:lang w:eastAsia="de-DE"/>
        </w:rPr>
        <w:t xml:space="preserve"> Art. 42 BüG sieht vor, dass das SEM </w:t>
      </w:r>
      <w:proofErr w:type="gramStart"/>
      <w:r w:rsidRPr="0046220B">
        <w:rPr>
          <w:rFonts w:eastAsia="Times New Roman" w:cstheme="minorHAnsi"/>
          <w:color w:val="000000" w:themeColor="text1"/>
          <w:szCs w:val="20"/>
          <w:lang w:eastAsia="de-DE"/>
        </w:rPr>
        <w:t>Doppelbürger:innen</w:t>
      </w:r>
      <w:proofErr w:type="gramEnd"/>
      <w:r w:rsidRPr="0046220B">
        <w:rPr>
          <w:rFonts w:eastAsia="Times New Roman" w:cstheme="minorHAnsi"/>
          <w:color w:val="000000" w:themeColor="text1"/>
          <w:szCs w:val="20"/>
          <w:lang w:eastAsia="de-DE"/>
        </w:rPr>
        <w:t xml:space="preserve"> das Schweizer Bürgerrecht entziehen kann, sollten deren Verhalten den Interessen oder dem Ansehen der Schweiz erheblich nachteilig sein. Den Tatbestand erfüllen etwa Verbrechen oder Vergehen gegen den Staat und die Landesverteidigung sowie schwere Verbrechen im Kontext von Terrorismus, gewalttätigem Extremismus und der organisierten Kriminalität (vgl. SEM 2022: 12 f.). Für den Entzug des Schweizer Bürgerrechts kommen nur </w:t>
      </w:r>
      <w:proofErr w:type="gramStart"/>
      <w:r w:rsidRPr="0046220B">
        <w:rPr>
          <w:rFonts w:eastAsia="Times New Roman" w:cstheme="minorHAnsi"/>
          <w:color w:val="000000" w:themeColor="text1"/>
          <w:szCs w:val="20"/>
          <w:lang w:eastAsia="de-DE"/>
        </w:rPr>
        <w:t>Täter:innen</w:t>
      </w:r>
      <w:proofErr w:type="gramEnd"/>
      <w:r w:rsidRPr="0046220B">
        <w:rPr>
          <w:rFonts w:eastAsia="Times New Roman" w:cstheme="minorHAnsi"/>
          <w:color w:val="000000" w:themeColor="text1"/>
          <w:szCs w:val="20"/>
          <w:lang w:eastAsia="de-DE"/>
        </w:rPr>
        <w:t xml:space="preserve"> mindestens zweier Staatsangehörigkeiten (sog. </w:t>
      </w:r>
      <w:proofErr w:type="gramStart"/>
      <w:r w:rsidRPr="0046220B">
        <w:rPr>
          <w:rFonts w:eastAsia="Times New Roman" w:cstheme="minorHAnsi"/>
          <w:color w:val="000000" w:themeColor="text1"/>
          <w:szCs w:val="20"/>
          <w:lang w:eastAsia="de-DE"/>
        </w:rPr>
        <w:t>Doppelbürger:innen</w:t>
      </w:r>
      <w:proofErr w:type="gramEnd"/>
      <w:r w:rsidRPr="0046220B">
        <w:rPr>
          <w:rFonts w:eastAsia="Times New Roman" w:cstheme="minorHAnsi"/>
          <w:color w:val="000000" w:themeColor="text1"/>
          <w:szCs w:val="20"/>
          <w:lang w:eastAsia="de-DE"/>
        </w:rPr>
        <w:t xml:space="preserve">) in Frage (SEM 2022: 9 ff.). Die </w:t>
      </w:r>
      <w:r w:rsidRPr="0046220B">
        <w:rPr>
          <w:rFonts w:eastAsia="Times New Roman" w:cstheme="minorHAnsi"/>
          <w:i/>
          <w:iCs/>
          <w:color w:val="000000" w:themeColor="text1"/>
          <w:szCs w:val="20"/>
          <w:lang w:eastAsia="de-DE"/>
        </w:rPr>
        <w:t>geschützten Rechtsgüter</w:t>
      </w:r>
      <w:r w:rsidRPr="0046220B">
        <w:rPr>
          <w:rFonts w:eastAsia="Times New Roman" w:cstheme="minorHAnsi"/>
          <w:color w:val="000000" w:themeColor="text1"/>
          <w:szCs w:val="20"/>
          <w:lang w:eastAsia="de-DE"/>
        </w:rPr>
        <w:t xml:space="preserve"> eines Bürgerrechtsentzugs sind die </w:t>
      </w:r>
      <w:r w:rsidR="00786D85" w:rsidRPr="0046220B">
        <w:rPr>
          <w:rFonts w:eastAsia="Times New Roman" w:cstheme="minorHAnsi"/>
          <w:color w:val="000000" w:themeColor="text1"/>
          <w:szCs w:val="20"/>
          <w:lang w:eastAsia="de-DE"/>
        </w:rPr>
        <w:t>äußere</w:t>
      </w:r>
      <w:r w:rsidRPr="0046220B">
        <w:rPr>
          <w:rFonts w:eastAsia="Times New Roman" w:cstheme="minorHAnsi"/>
          <w:color w:val="000000" w:themeColor="text1"/>
          <w:szCs w:val="20"/>
          <w:lang w:eastAsia="de-DE"/>
        </w:rPr>
        <w:t xml:space="preserve"> und innere Sicherheit der Schweiz, die Unabhängigkeit der Eidgenossenschaft, die schweizerische Gebietshoheit und die verfassungsmäßige Ordnung der Schweiz (SEM 2022: 10). Mit wenig aufschlussreicher Argumentation wurde dies durch die aktuelle Schweizer Rechtsprechung teilweise relativiert, sodass zum geschützten Rechtsgut Diskussionen </w:t>
      </w:r>
      <w:r w:rsidR="00D123A9" w:rsidRPr="0046220B">
        <w:rPr>
          <w:rFonts w:eastAsia="Times New Roman" w:cstheme="minorHAnsi"/>
          <w:color w:val="000000" w:themeColor="text1"/>
          <w:szCs w:val="20"/>
          <w:lang w:eastAsia="de-DE"/>
        </w:rPr>
        <w:t>entbrannt</w:t>
      </w:r>
      <w:r w:rsidR="00D123A9">
        <w:rPr>
          <w:rFonts w:eastAsia="Times New Roman" w:cstheme="minorHAnsi"/>
          <w:color w:val="000000" w:themeColor="text1"/>
          <w:szCs w:val="20"/>
          <w:lang w:eastAsia="de-DE"/>
        </w:rPr>
        <w:t xml:space="preserve"> sind</w:t>
      </w:r>
      <w:r w:rsidR="00D123A9" w:rsidRPr="0046220B">
        <w:rPr>
          <w:rFonts w:eastAsia="Times New Roman" w:cstheme="minorHAnsi"/>
          <w:color w:val="000000" w:themeColor="text1"/>
          <w:szCs w:val="20"/>
          <w:lang w:eastAsia="de-DE"/>
        </w:rPr>
        <w:t xml:space="preserve"> </w:t>
      </w:r>
      <w:r w:rsidRPr="0046220B">
        <w:rPr>
          <w:rFonts w:eastAsia="Times New Roman" w:cstheme="minorHAnsi"/>
          <w:color w:val="000000" w:themeColor="text1"/>
          <w:szCs w:val="20"/>
          <w:lang w:eastAsia="de-DE"/>
        </w:rPr>
        <w:t>und Klärungsbedarf besteht (siehe dazu Diskussion in Kap. 3.3)</w:t>
      </w:r>
      <w:r w:rsidR="00D123A9">
        <w:rPr>
          <w:rFonts w:eastAsia="Times New Roman" w:cstheme="minorHAnsi"/>
          <w:color w:val="000000" w:themeColor="text1"/>
          <w:szCs w:val="20"/>
          <w:lang w:eastAsia="de-DE"/>
        </w:rPr>
        <w:t>.</w:t>
      </w:r>
    </w:p>
    <w:p w14:paraId="01DC2DE9" w14:textId="18705C33" w:rsidR="003C268C" w:rsidRPr="0046220B" w:rsidRDefault="003C268C" w:rsidP="003C268C">
      <w:pPr>
        <w:spacing w:before="120" w:line="276" w:lineRule="auto"/>
        <w:jc w:val="both"/>
        <w:rPr>
          <w:rFonts w:eastAsia="Times New Roman" w:cstheme="minorHAnsi"/>
          <w:color w:val="000000" w:themeColor="text1"/>
          <w:szCs w:val="20"/>
          <w:lang w:eastAsia="de-DE"/>
        </w:rPr>
      </w:pPr>
      <w:r w:rsidRPr="0046220B">
        <w:rPr>
          <w:rFonts w:eastAsia="Times New Roman" w:cstheme="minorHAnsi"/>
          <w:color w:val="000000" w:themeColor="text1"/>
          <w:szCs w:val="20"/>
          <w:lang w:eastAsia="de-DE"/>
        </w:rPr>
        <w:t xml:space="preserve">Der Straftatenkatalog für einen möglichen Bürgerrechtsentzug ist </w:t>
      </w:r>
      <w:r w:rsidR="00786D85" w:rsidRPr="0046220B">
        <w:rPr>
          <w:rFonts w:eastAsia="Times New Roman" w:cstheme="minorHAnsi"/>
          <w:i/>
          <w:iCs/>
          <w:color w:val="000000" w:themeColor="text1"/>
          <w:szCs w:val="20"/>
          <w:lang w:eastAsia="de-DE"/>
        </w:rPr>
        <w:t>abschließend</w:t>
      </w:r>
      <w:r w:rsidRPr="0046220B">
        <w:rPr>
          <w:rFonts w:eastAsia="Times New Roman" w:cstheme="minorHAnsi"/>
          <w:color w:val="000000" w:themeColor="text1"/>
          <w:szCs w:val="20"/>
          <w:lang w:eastAsia="de-DE"/>
        </w:rPr>
        <w:t xml:space="preserve"> (vgl. de Weck in Spescha et al. 2019: N 1 zu Art. 42 BüG). Die</w:t>
      </w:r>
      <w:r w:rsidRPr="0046220B">
        <w:rPr>
          <w:rStyle w:val="Funotenzeichen"/>
          <w:rFonts w:cstheme="minorHAnsi"/>
          <w:color w:val="000000" w:themeColor="text1"/>
        </w:rPr>
        <w:t xml:space="preserve"> </w:t>
      </w:r>
      <w:r w:rsidRPr="0046220B">
        <w:rPr>
          <w:rFonts w:eastAsia="Times New Roman" w:cstheme="minorHAnsi"/>
          <w:color w:val="000000" w:themeColor="text1"/>
          <w:szCs w:val="20"/>
          <w:lang w:eastAsia="de-DE"/>
        </w:rPr>
        <w:t>rechtkräftigte Verurteilung der betroffenen Person – sei es in der Schweiz oder im Ausland (vgl. Glaus</w:t>
      </w:r>
      <w:r w:rsidRPr="0046220B">
        <w:rPr>
          <w:rFonts w:eastAsia="Times New Roman" w:cstheme="minorHAnsi"/>
          <w:color w:val="000000" w:themeColor="text1"/>
          <w:lang w:eastAsia="de-DE"/>
        </w:rPr>
        <w:t xml:space="preserve">, Reinhard in: SRF 2021) </w:t>
      </w:r>
      <w:r w:rsidRPr="0046220B">
        <w:rPr>
          <w:rFonts w:eastAsia="Times New Roman" w:cstheme="minorHAnsi"/>
          <w:color w:val="000000" w:themeColor="text1"/>
          <w:szCs w:val="20"/>
          <w:lang w:eastAsia="de-DE"/>
        </w:rPr>
        <w:t xml:space="preserve">– ist eine zwingende Voraussetzung für ein mögliches Entzugsverfahren. Der Entzug des Schweizer Bürgerrechts gilt als </w:t>
      </w:r>
      <w:r w:rsidRPr="0046220B">
        <w:rPr>
          <w:rFonts w:eastAsia="Times New Roman" w:cstheme="minorHAnsi"/>
          <w:i/>
          <w:iCs/>
          <w:color w:val="000000" w:themeColor="text1"/>
          <w:szCs w:val="20"/>
          <w:lang w:eastAsia="de-DE"/>
        </w:rPr>
        <w:t>ultima ratio-</w:t>
      </w:r>
      <w:r w:rsidR="006E62C7" w:rsidRPr="0046220B">
        <w:rPr>
          <w:rFonts w:eastAsia="Times New Roman" w:cstheme="minorHAnsi"/>
          <w:i/>
          <w:iCs/>
          <w:color w:val="000000" w:themeColor="text1"/>
          <w:szCs w:val="20"/>
          <w:lang w:eastAsia="de-DE"/>
        </w:rPr>
        <w:t>Ma</w:t>
      </w:r>
      <w:r w:rsidR="006E62C7">
        <w:rPr>
          <w:rFonts w:eastAsia="Times New Roman" w:cstheme="minorHAnsi"/>
          <w:i/>
          <w:iCs/>
          <w:color w:val="000000" w:themeColor="text1"/>
          <w:szCs w:val="20"/>
          <w:lang w:eastAsia="de-DE"/>
        </w:rPr>
        <w:t>ß</w:t>
      </w:r>
      <w:r w:rsidR="006E62C7" w:rsidRPr="0046220B">
        <w:rPr>
          <w:rFonts w:eastAsia="Times New Roman" w:cstheme="minorHAnsi"/>
          <w:i/>
          <w:iCs/>
          <w:color w:val="000000" w:themeColor="text1"/>
          <w:szCs w:val="20"/>
          <w:lang w:eastAsia="de-DE"/>
        </w:rPr>
        <w:t>nahme</w:t>
      </w:r>
      <w:r w:rsidR="006E62C7" w:rsidRPr="0046220B">
        <w:rPr>
          <w:rFonts w:eastAsia="Times New Roman" w:cstheme="minorHAnsi"/>
          <w:color w:val="000000" w:themeColor="text1"/>
          <w:szCs w:val="20"/>
          <w:lang w:eastAsia="de-DE"/>
        </w:rPr>
        <w:t xml:space="preserve"> </w:t>
      </w:r>
      <w:r w:rsidRPr="0046220B">
        <w:rPr>
          <w:rFonts w:eastAsia="Times New Roman" w:cstheme="minorHAnsi"/>
          <w:color w:val="000000" w:themeColor="text1"/>
          <w:szCs w:val="20"/>
          <w:lang w:eastAsia="de-DE"/>
        </w:rPr>
        <w:t xml:space="preserve">(vgl. SEM 2022: 9; de Weck in Spescha et al. 2019: N 1 zu Art. 42 BüG; Botschaft vom 4. März 2011, S. 2865; BGer 1C_457/2021 vom 25. März 2022 E. 6.) und es besteht </w:t>
      </w:r>
      <w:r w:rsidRPr="0046220B">
        <w:rPr>
          <w:rFonts w:eastAsia="Times New Roman" w:cstheme="minorHAnsi"/>
          <w:i/>
          <w:iCs/>
          <w:color w:val="000000" w:themeColor="text1"/>
          <w:szCs w:val="20"/>
          <w:lang w:eastAsia="de-DE"/>
        </w:rPr>
        <w:t>kein Automatismus</w:t>
      </w:r>
      <w:r w:rsidRPr="0046220B">
        <w:rPr>
          <w:rFonts w:eastAsia="Times New Roman" w:cstheme="minorHAnsi"/>
          <w:color w:val="000000" w:themeColor="text1"/>
          <w:szCs w:val="20"/>
          <w:lang w:eastAsia="de-DE"/>
        </w:rPr>
        <w:t xml:space="preserve">, wonach eine straffällige Person bei Vorliegen der Voraussetzungen auszubürgern wäre. </w:t>
      </w:r>
    </w:p>
    <w:p w14:paraId="76DA0341" w14:textId="2D7898BF" w:rsidR="003C268C" w:rsidRPr="0046220B" w:rsidRDefault="003C268C" w:rsidP="003C268C">
      <w:pPr>
        <w:spacing w:before="120" w:line="276" w:lineRule="auto"/>
        <w:jc w:val="both"/>
        <w:rPr>
          <w:rFonts w:eastAsia="Times New Roman" w:cstheme="minorHAnsi"/>
          <w:color w:val="000000" w:themeColor="text1"/>
          <w:szCs w:val="20"/>
          <w:lang w:eastAsia="de-DE"/>
        </w:rPr>
      </w:pPr>
      <w:r w:rsidRPr="0046220B">
        <w:rPr>
          <w:rFonts w:eastAsia="Times New Roman" w:cstheme="minorHAnsi"/>
          <w:color w:val="000000" w:themeColor="text1"/>
          <w:szCs w:val="20"/>
          <w:lang w:eastAsia="de-DE"/>
        </w:rPr>
        <w:t xml:space="preserve">Jeder Entzug des Bürgerrechts muss mit den </w:t>
      </w:r>
      <w:r w:rsidR="00786D85" w:rsidRPr="0046220B">
        <w:rPr>
          <w:rFonts w:eastAsia="Times New Roman" w:cstheme="minorHAnsi"/>
          <w:color w:val="000000" w:themeColor="text1"/>
          <w:szCs w:val="20"/>
          <w:lang w:eastAsia="de-DE"/>
        </w:rPr>
        <w:t>verfassungsmäßigen</w:t>
      </w:r>
      <w:r w:rsidRPr="0046220B">
        <w:rPr>
          <w:rFonts w:eastAsia="Times New Roman" w:cstheme="minorHAnsi"/>
          <w:color w:val="000000" w:themeColor="text1"/>
          <w:szCs w:val="20"/>
          <w:lang w:eastAsia="de-DE"/>
        </w:rPr>
        <w:t xml:space="preserve"> Garantien der Schweizer Bundesverfassung (BV) in Einklang stehen. Dazu gehören namentlich die Grund- und Freiheitsrechte und die rechtsstaatlichen Garantien in Art. 7 ff. BV sowie der Europäischen Menschenrechtskonvention (EMRK).</w:t>
      </w:r>
      <w:r w:rsidRPr="0046220B">
        <w:rPr>
          <w:rStyle w:val="Funotenzeichen"/>
          <w:rFonts w:eastAsia="Times New Roman" w:cstheme="minorHAnsi"/>
          <w:color w:val="000000" w:themeColor="text1"/>
          <w:szCs w:val="20"/>
          <w:lang w:eastAsia="de-DE"/>
        </w:rPr>
        <w:footnoteReference w:id="10"/>
      </w:r>
      <w:r w:rsidRPr="0046220B">
        <w:rPr>
          <w:rFonts w:eastAsia="Times New Roman" w:cstheme="minorHAnsi"/>
          <w:color w:val="000000" w:themeColor="text1"/>
          <w:szCs w:val="20"/>
          <w:lang w:eastAsia="de-DE"/>
        </w:rPr>
        <w:t xml:space="preserve"> Ein Bürgerrechtsentzug ist ein schwerer Eingriff in Grundfreiheiten des betroffenen Individuums sowie in diejenige seiner Familienmitglieder. Art. 36 BV legt fest, dass der Staat Freiheitsrechte zum Schutz grundlegender Elemente des menschlichen Lebens nur </w:t>
      </w:r>
      <w:r w:rsidR="00786D85" w:rsidRPr="0046220B">
        <w:rPr>
          <w:rFonts w:eastAsia="Times New Roman" w:cstheme="minorHAnsi"/>
          <w:color w:val="000000" w:themeColor="text1"/>
          <w:szCs w:val="20"/>
          <w:lang w:eastAsia="de-DE"/>
        </w:rPr>
        <w:t>rechtmäßig</w:t>
      </w:r>
      <w:r w:rsidRPr="0046220B">
        <w:rPr>
          <w:rFonts w:eastAsia="Times New Roman" w:cstheme="minorHAnsi"/>
          <w:color w:val="000000" w:themeColor="text1"/>
          <w:szCs w:val="20"/>
          <w:lang w:eastAsia="de-DE"/>
        </w:rPr>
        <w:t xml:space="preserve"> einschränken kann, solange ein zulässiges öffentliches Eingriffsinteresse besteht. Nach Art. 36 Abs. 3 BV sind Grundrechtseinschränkungen nur </w:t>
      </w:r>
      <w:r w:rsidR="00786D85" w:rsidRPr="0046220B">
        <w:rPr>
          <w:rFonts w:eastAsia="Times New Roman" w:cstheme="minorHAnsi"/>
          <w:color w:val="000000" w:themeColor="text1"/>
          <w:szCs w:val="20"/>
          <w:lang w:eastAsia="de-DE"/>
        </w:rPr>
        <w:t>verhältnismäßig</w:t>
      </w:r>
      <w:r w:rsidRPr="0046220B">
        <w:rPr>
          <w:rFonts w:eastAsia="Times New Roman" w:cstheme="minorHAnsi"/>
          <w:color w:val="000000" w:themeColor="text1"/>
          <w:szCs w:val="20"/>
          <w:lang w:eastAsia="de-DE"/>
        </w:rPr>
        <w:t xml:space="preserve">, soweit eine </w:t>
      </w:r>
      <w:r w:rsidR="00786D85" w:rsidRPr="0046220B">
        <w:rPr>
          <w:rFonts w:eastAsia="Times New Roman" w:cstheme="minorHAnsi"/>
          <w:color w:val="000000" w:themeColor="text1"/>
          <w:szCs w:val="20"/>
          <w:lang w:eastAsia="de-DE"/>
        </w:rPr>
        <w:t>Maßnahme</w:t>
      </w:r>
      <w:r w:rsidRPr="0046220B">
        <w:rPr>
          <w:rFonts w:eastAsia="Times New Roman" w:cstheme="minorHAnsi"/>
          <w:color w:val="000000" w:themeColor="text1"/>
          <w:szCs w:val="20"/>
          <w:lang w:eastAsia="de-DE"/>
        </w:rPr>
        <w:t xml:space="preserve"> </w:t>
      </w:r>
      <w:r w:rsidRPr="0046220B">
        <w:rPr>
          <w:rFonts w:eastAsia="Times New Roman" w:cstheme="minorHAnsi"/>
          <w:i/>
          <w:iCs/>
          <w:color w:val="000000" w:themeColor="text1"/>
          <w:szCs w:val="20"/>
          <w:lang w:eastAsia="de-DE"/>
        </w:rPr>
        <w:t>geeignet</w:t>
      </w:r>
      <w:r w:rsidRPr="0046220B">
        <w:rPr>
          <w:rFonts w:eastAsia="Times New Roman" w:cstheme="minorHAnsi"/>
          <w:color w:val="000000" w:themeColor="text1"/>
          <w:szCs w:val="20"/>
          <w:lang w:eastAsia="de-DE"/>
        </w:rPr>
        <w:t xml:space="preserve"> ist, den angestrebten Zweck zu erreichen. Das Eingriffsinteresse muss in sachlicher, persönlicher, zeitlicher und räumlicher Hinsicht </w:t>
      </w:r>
      <w:r w:rsidRPr="009C294B">
        <w:rPr>
          <w:rFonts w:eastAsia="Times New Roman" w:cstheme="minorHAnsi"/>
          <w:i/>
          <w:iCs/>
          <w:color w:val="000000" w:themeColor="text1"/>
          <w:szCs w:val="20"/>
          <w:lang w:eastAsia="de-DE"/>
        </w:rPr>
        <w:t>erforderlich</w:t>
      </w:r>
      <w:r w:rsidRPr="0046220B">
        <w:rPr>
          <w:rFonts w:eastAsia="Times New Roman" w:cstheme="minorHAnsi"/>
          <w:color w:val="000000" w:themeColor="text1"/>
          <w:szCs w:val="20"/>
          <w:lang w:eastAsia="de-DE"/>
        </w:rPr>
        <w:t xml:space="preserve"> sein. Es dürfen keine tauglichen </w:t>
      </w:r>
      <w:r w:rsidRPr="0046220B">
        <w:rPr>
          <w:rFonts w:eastAsia="Times New Roman" w:cstheme="minorHAnsi"/>
          <w:i/>
          <w:iCs/>
          <w:color w:val="000000" w:themeColor="text1"/>
          <w:szCs w:val="20"/>
          <w:lang w:eastAsia="de-DE"/>
        </w:rPr>
        <w:t>milderen Mittel</w:t>
      </w:r>
      <w:r w:rsidRPr="0046220B">
        <w:rPr>
          <w:rFonts w:eastAsia="Times New Roman" w:cstheme="minorHAnsi"/>
          <w:color w:val="000000" w:themeColor="text1"/>
          <w:szCs w:val="20"/>
          <w:lang w:eastAsia="de-DE"/>
        </w:rPr>
        <w:t xml:space="preserve"> zur Verfügung stehen. Grundrechtseinschränkungen sind </w:t>
      </w:r>
      <w:r w:rsidR="00786D85" w:rsidRPr="0046220B">
        <w:rPr>
          <w:rFonts w:eastAsia="Times New Roman" w:cstheme="minorHAnsi"/>
          <w:color w:val="000000" w:themeColor="text1"/>
          <w:szCs w:val="20"/>
          <w:lang w:eastAsia="de-DE"/>
        </w:rPr>
        <w:t>schließlich</w:t>
      </w:r>
      <w:r w:rsidRPr="0046220B">
        <w:rPr>
          <w:rFonts w:eastAsia="Times New Roman" w:cstheme="minorHAnsi"/>
          <w:color w:val="000000" w:themeColor="text1"/>
          <w:szCs w:val="20"/>
          <w:lang w:eastAsia="de-DE"/>
        </w:rPr>
        <w:t xml:space="preserve"> nur </w:t>
      </w:r>
      <w:r w:rsidRPr="0046220B">
        <w:rPr>
          <w:rFonts w:eastAsia="Times New Roman" w:cstheme="minorHAnsi"/>
          <w:i/>
          <w:iCs/>
          <w:color w:val="000000" w:themeColor="text1"/>
          <w:szCs w:val="20"/>
          <w:lang w:eastAsia="de-DE"/>
        </w:rPr>
        <w:t>zumutbar</w:t>
      </w:r>
      <w:r w:rsidRPr="0046220B">
        <w:rPr>
          <w:rFonts w:eastAsia="Times New Roman" w:cstheme="minorHAnsi"/>
          <w:color w:val="000000" w:themeColor="text1"/>
          <w:szCs w:val="20"/>
          <w:lang w:eastAsia="de-DE"/>
        </w:rPr>
        <w:t xml:space="preserve">, wenn das verfolgte öffentliche Interesse </w:t>
      </w:r>
      <w:r w:rsidRPr="0046220B">
        <w:rPr>
          <w:rFonts w:eastAsia="Times New Roman" w:cstheme="minorHAnsi"/>
          <w:color w:val="000000" w:themeColor="text1"/>
          <w:szCs w:val="20"/>
          <w:lang w:eastAsia="de-DE"/>
        </w:rPr>
        <w:lastRenderedPageBreak/>
        <w:t>jene des betroffenen Individuums überwiegt.</w:t>
      </w:r>
      <w:r w:rsidRPr="0046220B">
        <w:rPr>
          <w:rStyle w:val="Funotenzeichen"/>
          <w:rFonts w:eastAsia="Times New Roman" w:cstheme="minorHAnsi"/>
          <w:color w:val="000000" w:themeColor="text1"/>
          <w:szCs w:val="20"/>
          <w:lang w:eastAsia="de-DE"/>
        </w:rPr>
        <w:footnoteReference w:id="11"/>
      </w:r>
      <w:r w:rsidRPr="0046220B">
        <w:rPr>
          <w:rFonts w:eastAsia="Times New Roman" w:cstheme="minorHAnsi"/>
          <w:color w:val="000000" w:themeColor="text1"/>
          <w:szCs w:val="20"/>
          <w:lang w:eastAsia="de-DE"/>
        </w:rPr>
        <w:t xml:space="preserve"> </w:t>
      </w:r>
      <w:proofErr w:type="gramStart"/>
      <w:r w:rsidRPr="0046220B">
        <w:rPr>
          <w:rFonts w:eastAsia="Times New Roman" w:cstheme="minorHAnsi"/>
          <w:color w:val="000000" w:themeColor="text1"/>
          <w:szCs w:val="20"/>
          <w:lang w:eastAsia="de-DE"/>
        </w:rPr>
        <w:t>Sind</w:t>
      </w:r>
      <w:proofErr w:type="gramEnd"/>
      <w:r w:rsidRPr="0046220B">
        <w:rPr>
          <w:rFonts w:eastAsia="Times New Roman" w:cstheme="minorHAnsi"/>
          <w:color w:val="000000" w:themeColor="text1"/>
          <w:szCs w:val="20"/>
          <w:lang w:eastAsia="de-DE"/>
        </w:rPr>
        <w:t xml:space="preserve"> diese Kriterien nicht erfüllt, ist </w:t>
      </w:r>
      <w:r w:rsidR="00196F29">
        <w:rPr>
          <w:rFonts w:eastAsia="Times New Roman" w:cstheme="minorHAnsi"/>
          <w:color w:val="000000" w:themeColor="text1"/>
          <w:szCs w:val="20"/>
          <w:lang w:eastAsia="de-DE"/>
        </w:rPr>
        <w:t>jeder</w:t>
      </w:r>
      <w:r w:rsidR="00196F29" w:rsidRPr="0046220B">
        <w:rPr>
          <w:rFonts w:eastAsia="Times New Roman" w:cstheme="minorHAnsi"/>
          <w:color w:val="000000" w:themeColor="text1"/>
          <w:szCs w:val="20"/>
          <w:lang w:eastAsia="de-DE"/>
        </w:rPr>
        <w:t xml:space="preserve"> </w:t>
      </w:r>
      <w:r w:rsidRPr="0046220B">
        <w:rPr>
          <w:rFonts w:eastAsia="Times New Roman" w:cstheme="minorHAnsi"/>
          <w:color w:val="000000" w:themeColor="text1"/>
          <w:szCs w:val="20"/>
          <w:lang w:eastAsia="de-DE"/>
        </w:rPr>
        <w:t xml:space="preserve">Grundrechtseingriff </w:t>
      </w:r>
      <w:r w:rsidR="00786D85" w:rsidRPr="0046220B">
        <w:rPr>
          <w:rFonts w:eastAsia="Times New Roman" w:cstheme="minorHAnsi"/>
          <w:color w:val="000000" w:themeColor="text1"/>
          <w:szCs w:val="20"/>
          <w:lang w:eastAsia="de-DE"/>
        </w:rPr>
        <w:t>unrechtmäßig</w:t>
      </w:r>
      <w:r w:rsidRPr="0046220B">
        <w:rPr>
          <w:rFonts w:eastAsia="Times New Roman" w:cstheme="minorHAnsi"/>
          <w:color w:val="000000" w:themeColor="text1"/>
          <w:szCs w:val="20"/>
          <w:lang w:eastAsia="de-DE"/>
        </w:rPr>
        <w:t xml:space="preserve"> und muss ausbleiben.</w:t>
      </w:r>
    </w:p>
    <w:p w14:paraId="24BBDCFD" w14:textId="31B319B8" w:rsidR="003C268C" w:rsidRPr="0046220B" w:rsidRDefault="005F4735" w:rsidP="005F4735">
      <w:pPr>
        <w:pStyle w:val="3Ebene"/>
      </w:pPr>
      <w:bookmarkStart w:id="15" w:name="_Toc188272762"/>
      <w:bookmarkStart w:id="16" w:name="_Toc195609697"/>
      <w:r>
        <w:t xml:space="preserve">3.2.2 </w:t>
      </w:r>
      <w:r w:rsidR="003C268C" w:rsidRPr="0046220B">
        <w:t>Entzugsverfahren in der Schweiz</w:t>
      </w:r>
      <w:bookmarkEnd w:id="15"/>
      <w:bookmarkEnd w:id="16"/>
    </w:p>
    <w:p w14:paraId="5619906E" w14:textId="0688A9A9" w:rsidR="003C268C" w:rsidRPr="0046220B" w:rsidRDefault="003C268C" w:rsidP="003C268C">
      <w:pPr>
        <w:spacing w:before="120" w:line="276" w:lineRule="auto"/>
        <w:jc w:val="both"/>
        <w:rPr>
          <w:rFonts w:eastAsia="Times New Roman" w:cstheme="minorHAnsi"/>
          <w:color w:val="000000" w:themeColor="text1"/>
          <w:szCs w:val="20"/>
          <w:lang w:eastAsia="de-DE"/>
        </w:rPr>
      </w:pPr>
      <w:r w:rsidRPr="0046220B">
        <w:rPr>
          <w:rFonts w:eastAsia="Times New Roman" w:cstheme="minorHAnsi"/>
          <w:color w:val="000000" w:themeColor="text1"/>
          <w:szCs w:val="20"/>
          <w:lang w:eastAsia="de-DE"/>
        </w:rPr>
        <w:t xml:space="preserve">Das SEM meldet der betroffenen Person die Eröffnung des Entzugsverfahrens und gewährt ihr das rechtliche Gehör. Während das SEM das Verfahren eröffnet, die Staatsangehörigkeit entzieht und die Entzugsverfügung erlässt, muss der Kanton, dessen Bürgerrecht die betroffene Täterschaft besitzt, der Maßnahme zustimmen. Während des Verfahrens trägt das SEM die Beweislast. Das SEM muss also nachweisen, dass die Voraussetzungen des Bürgerrechtsentzugs nach Art. 42 BüG im konkreten Einzelfall erfüllt sind. Ist dies der Fall, holt das SEM die Zustimmung des Heimatkantons ein und erlässt eine Entzugsverfügung (vgl. SEM 2022: 15). Diese kann vor </w:t>
      </w:r>
      <w:r w:rsidR="00161773">
        <w:rPr>
          <w:rFonts w:eastAsia="Times New Roman" w:cstheme="minorHAnsi"/>
          <w:color w:val="000000" w:themeColor="text1"/>
          <w:szCs w:val="20"/>
          <w:lang w:eastAsia="de-DE"/>
        </w:rPr>
        <w:t>dem</w:t>
      </w:r>
      <w:r w:rsidRPr="0046220B">
        <w:rPr>
          <w:rFonts w:eastAsia="Times New Roman" w:cstheme="minorHAnsi"/>
          <w:color w:val="000000" w:themeColor="text1"/>
          <w:szCs w:val="20"/>
          <w:lang w:eastAsia="de-DE"/>
        </w:rPr>
        <w:t xml:space="preserve"> Bundesverwaltungsgericht </w:t>
      </w:r>
      <w:r w:rsidR="00196F29">
        <w:rPr>
          <w:rFonts w:eastAsia="Times New Roman" w:cstheme="minorHAnsi"/>
          <w:color w:val="000000" w:themeColor="text1"/>
          <w:szCs w:val="20"/>
          <w:lang w:eastAsia="de-DE"/>
        </w:rPr>
        <w:t>innert</w:t>
      </w:r>
      <w:r w:rsidR="00161773" w:rsidRPr="0046220B">
        <w:rPr>
          <w:rFonts w:eastAsia="Times New Roman" w:cstheme="minorHAnsi"/>
          <w:color w:val="000000" w:themeColor="text1"/>
          <w:szCs w:val="20"/>
          <w:lang w:eastAsia="de-DE"/>
        </w:rPr>
        <w:t xml:space="preserve"> </w:t>
      </w:r>
      <w:r w:rsidRPr="0046220B">
        <w:rPr>
          <w:rFonts w:eastAsia="Times New Roman" w:cstheme="minorHAnsi"/>
          <w:color w:val="000000" w:themeColor="text1"/>
          <w:szCs w:val="20"/>
          <w:lang w:eastAsia="de-DE"/>
        </w:rPr>
        <w:t xml:space="preserve">30 Tagen angefochten werden. Nach Ablauf der Beschwerdefrist wird der Bürgerrechtsentzug rechtskräftig. Er hat zur Folge, dass die betroffene Person die Schweizer Staatsangehörigkeit verliert (vgl. SEM 2022: 16). Das SEM veranlasst die Eintragung des Bürgerrechtsentzugs im Personenstandsregister </w:t>
      </w:r>
      <w:r w:rsidRPr="001674F2">
        <w:rPr>
          <w:rFonts w:eastAsia="Times New Roman" w:cstheme="minorHAnsi"/>
          <w:i/>
          <w:color w:val="000000" w:themeColor="text1"/>
          <w:szCs w:val="20"/>
          <w:lang w:eastAsia="de-DE"/>
        </w:rPr>
        <w:t>Infostar</w:t>
      </w:r>
      <w:r w:rsidRPr="0046220B">
        <w:rPr>
          <w:rFonts w:eastAsia="Times New Roman" w:cstheme="minorHAnsi"/>
          <w:color w:val="000000" w:themeColor="text1"/>
          <w:szCs w:val="20"/>
          <w:lang w:eastAsia="de-DE"/>
        </w:rPr>
        <w:t xml:space="preserve"> und entzieht die schweizerischen Ausweispapiere (vgl. SEM 2022: 9).</w:t>
      </w:r>
    </w:p>
    <w:p w14:paraId="2DC6A07B" w14:textId="544509E4" w:rsidR="003C268C" w:rsidRPr="0046220B" w:rsidRDefault="005F4735" w:rsidP="005F4735">
      <w:pPr>
        <w:pStyle w:val="3Ebene"/>
      </w:pPr>
      <w:bookmarkStart w:id="17" w:name="_Toc188272763"/>
      <w:bookmarkStart w:id="18" w:name="_Toc195609698"/>
      <w:r>
        <w:t xml:space="preserve">3.2.3 </w:t>
      </w:r>
      <w:r w:rsidR="003C268C" w:rsidRPr="0046220B">
        <w:t>Völkerrechtliche Einordnung</w:t>
      </w:r>
      <w:bookmarkEnd w:id="17"/>
      <w:bookmarkEnd w:id="18"/>
    </w:p>
    <w:p w14:paraId="38076454" w14:textId="60142CA9" w:rsidR="003C268C" w:rsidRPr="0046220B" w:rsidRDefault="003C268C" w:rsidP="003C268C">
      <w:pPr>
        <w:spacing w:before="120" w:line="276" w:lineRule="auto"/>
        <w:jc w:val="both"/>
        <w:rPr>
          <w:rFonts w:eastAsia="Times New Roman" w:cstheme="minorHAnsi"/>
          <w:color w:val="000000" w:themeColor="text1"/>
          <w:szCs w:val="20"/>
          <w:lang w:eastAsia="de-DE"/>
        </w:rPr>
      </w:pPr>
      <w:r w:rsidRPr="0046220B">
        <w:rPr>
          <w:rFonts w:eastAsia="Times New Roman" w:cstheme="minorHAnsi"/>
          <w:color w:val="000000" w:themeColor="text1"/>
          <w:szCs w:val="20"/>
          <w:lang w:eastAsia="de-DE"/>
        </w:rPr>
        <w:t xml:space="preserve">Nicht nur die Schweiz kennt staatsbürgerrechtliche Grundlagen im Umgang mit extremistischen und/oder radikalisierten </w:t>
      </w:r>
      <w:proofErr w:type="gramStart"/>
      <w:r w:rsidRPr="0046220B">
        <w:rPr>
          <w:rFonts w:eastAsia="Times New Roman" w:cstheme="minorHAnsi"/>
          <w:color w:val="000000" w:themeColor="text1"/>
          <w:szCs w:val="20"/>
          <w:lang w:eastAsia="de-DE"/>
        </w:rPr>
        <w:t>Straftäter:innen</w:t>
      </w:r>
      <w:proofErr w:type="gramEnd"/>
      <w:r w:rsidRPr="0046220B">
        <w:rPr>
          <w:rFonts w:eastAsia="Times New Roman" w:cstheme="minorHAnsi"/>
          <w:color w:val="000000" w:themeColor="text1"/>
          <w:szCs w:val="20"/>
          <w:lang w:eastAsia="de-DE"/>
        </w:rPr>
        <w:t>. Die Diskussion über den Entzug der Staatsbürgerschaft wird auch in europäischen Staaten oder etwa in Kanada breit geführt (vgl. Bolhuis, van Wijk 2020: 341 ff.; McMillan o.</w:t>
      </w:r>
      <w:r w:rsidR="00AF44B0">
        <w:rPr>
          <w:rFonts w:eastAsia="Times New Roman" w:cstheme="minorHAnsi"/>
          <w:color w:val="000000" w:themeColor="text1"/>
          <w:szCs w:val="20"/>
          <w:lang w:eastAsia="de-DE"/>
        </w:rPr>
        <w:t xml:space="preserve"> </w:t>
      </w:r>
      <w:r w:rsidRPr="0046220B">
        <w:rPr>
          <w:rFonts w:eastAsia="Times New Roman" w:cstheme="minorHAnsi"/>
          <w:color w:val="000000" w:themeColor="text1"/>
          <w:szCs w:val="20"/>
          <w:lang w:eastAsia="de-DE"/>
        </w:rPr>
        <w:t xml:space="preserve">J; Bundestag 2020: 5 ff.; Achermann 2015: 13 ff.). In Deutschland können laut Art. 8 des Grundgesetzes (GG) nur </w:t>
      </w:r>
      <w:proofErr w:type="gramStart"/>
      <w:r w:rsidRPr="0046220B">
        <w:rPr>
          <w:rFonts w:eastAsia="Times New Roman" w:cstheme="minorHAnsi"/>
          <w:color w:val="000000" w:themeColor="text1"/>
          <w:szCs w:val="20"/>
          <w:lang w:eastAsia="de-DE"/>
        </w:rPr>
        <w:t>Doppelbürger:innen</w:t>
      </w:r>
      <w:proofErr w:type="gramEnd"/>
      <w:r w:rsidRPr="0046220B">
        <w:rPr>
          <w:rFonts w:eastAsia="Times New Roman" w:cstheme="minorHAnsi"/>
          <w:color w:val="000000" w:themeColor="text1"/>
          <w:szCs w:val="20"/>
          <w:lang w:eastAsia="de-DE"/>
        </w:rPr>
        <w:t xml:space="preserve"> die deutsche Staatsangehörigkeit verlieren. Im August 2019 trat eine Verschärfung des Staatsangehörigenrechts in Kraft, wonach der Verlust des deutschen Passes nun auch möglich ist, wenn (Doppel-)</w:t>
      </w:r>
      <w:proofErr w:type="gramStart"/>
      <w:r w:rsidRPr="0046220B">
        <w:rPr>
          <w:rFonts w:eastAsia="Times New Roman" w:cstheme="minorHAnsi"/>
          <w:color w:val="000000" w:themeColor="text1"/>
          <w:szCs w:val="20"/>
          <w:lang w:eastAsia="de-DE"/>
        </w:rPr>
        <w:t>bürger:innen</w:t>
      </w:r>
      <w:proofErr w:type="gramEnd"/>
      <w:r w:rsidRPr="0046220B">
        <w:rPr>
          <w:rFonts w:eastAsia="Times New Roman" w:cstheme="minorHAnsi"/>
          <w:color w:val="000000" w:themeColor="text1"/>
          <w:szCs w:val="20"/>
          <w:lang w:eastAsia="de-DE"/>
        </w:rPr>
        <w:t xml:space="preserve"> ausländische terroristische Organisationen konkret in deren Kampf </w:t>
      </w:r>
      <w:r w:rsidR="00B013CB" w:rsidRPr="0046220B">
        <w:rPr>
          <w:rFonts w:eastAsia="Times New Roman" w:cstheme="minorHAnsi"/>
          <w:color w:val="000000" w:themeColor="text1"/>
          <w:szCs w:val="20"/>
          <w:lang w:eastAsia="de-DE"/>
        </w:rPr>
        <w:t>unterstützt</w:t>
      </w:r>
      <w:r w:rsidR="00B013CB">
        <w:rPr>
          <w:rFonts w:eastAsia="Times New Roman" w:cstheme="minorHAnsi"/>
          <w:color w:val="000000" w:themeColor="text1"/>
          <w:szCs w:val="20"/>
          <w:lang w:eastAsia="de-DE"/>
        </w:rPr>
        <w:t xml:space="preserve"> haben</w:t>
      </w:r>
      <w:r w:rsidR="00B013CB" w:rsidRPr="0046220B">
        <w:rPr>
          <w:rFonts w:eastAsia="Times New Roman" w:cstheme="minorHAnsi"/>
          <w:color w:val="000000" w:themeColor="text1"/>
          <w:szCs w:val="20"/>
          <w:lang w:eastAsia="de-DE"/>
        </w:rPr>
        <w:t xml:space="preserve"> </w:t>
      </w:r>
      <w:r w:rsidRPr="0046220B">
        <w:rPr>
          <w:rFonts w:eastAsia="Times New Roman" w:cstheme="minorHAnsi"/>
          <w:color w:val="000000" w:themeColor="text1"/>
          <w:szCs w:val="20"/>
          <w:lang w:eastAsia="de-DE"/>
        </w:rPr>
        <w:t xml:space="preserve">(vgl. Bolhuis, van Wijk 2020: 344). </w:t>
      </w:r>
    </w:p>
    <w:p w14:paraId="0EA0B599" w14:textId="10DFB31D" w:rsidR="003C268C" w:rsidRPr="0046220B" w:rsidRDefault="003C268C" w:rsidP="003C268C">
      <w:pPr>
        <w:spacing w:before="120" w:line="276" w:lineRule="auto"/>
        <w:jc w:val="both"/>
        <w:rPr>
          <w:rFonts w:eastAsia="Times New Roman" w:cstheme="minorHAnsi"/>
          <w:color w:val="000000" w:themeColor="text1"/>
          <w:szCs w:val="20"/>
          <w:lang w:eastAsia="de-DE"/>
        </w:rPr>
      </w:pPr>
      <w:r w:rsidRPr="0046220B">
        <w:rPr>
          <w:rFonts w:eastAsia="Times New Roman" w:cstheme="minorHAnsi"/>
          <w:color w:val="000000" w:themeColor="text1"/>
          <w:szCs w:val="20"/>
          <w:lang w:eastAsia="de-DE"/>
        </w:rPr>
        <w:t xml:space="preserve">Aus völkerrechtlicher Perspektive ist der Entzug der Staatsangehörigkeit grundsätzlich zulässig. Die internationale Rechtsordnung überlässt den Staaten als unabhängige Völkerrechtssubjekte Autonomie, die Erteilung und den Entzug des Bürgerrechts sowie deren Voraussetzungen und Modalitäten zu regeln. Gleichzeitig setzt das Völkerrecht den Nationalstaaten Rahmenbedingungen (vgl. Deutscher Bundestag 2018: 5 f.; Herdegen 2023: § 25 N 4; Merz, von Rütte in: Uebersax et al. 2022: N. 22.97). (1) </w:t>
      </w:r>
      <w:r w:rsidRPr="0046220B">
        <w:rPr>
          <w:rFonts w:eastAsia="Times New Roman" w:cstheme="minorHAnsi"/>
          <w:i/>
          <w:iCs/>
          <w:color w:val="000000" w:themeColor="text1"/>
          <w:szCs w:val="20"/>
          <w:lang w:eastAsia="de-DE"/>
        </w:rPr>
        <w:t>Menschenrechtliche Verbotstatbestände</w:t>
      </w:r>
      <w:r w:rsidRPr="0046220B">
        <w:rPr>
          <w:rFonts w:eastAsia="Times New Roman" w:cstheme="minorHAnsi"/>
          <w:color w:val="000000" w:themeColor="text1"/>
          <w:szCs w:val="20"/>
          <w:lang w:eastAsia="de-DE"/>
        </w:rPr>
        <w:t xml:space="preserve"> und (2) </w:t>
      </w:r>
      <w:r w:rsidRPr="0046220B">
        <w:rPr>
          <w:rFonts w:eastAsia="Times New Roman" w:cstheme="minorHAnsi"/>
          <w:i/>
          <w:iCs/>
          <w:color w:val="000000" w:themeColor="text1"/>
          <w:szCs w:val="20"/>
          <w:lang w:eastAsia="de-DE"/>
        </w:rPr>
        <w:t xml:space="preserve">staatsangehörigkeitsrechtliche Grundsätze </w:t>
      </w:r>
      <w:r w:rsidRPr="0046220B">
        <w:rPr>
          <w:rFonts w:eastAsia="Times New Roman" w:cstheme="minorHAnsi"/>
          <w:color w:val="000000" w:themeColor="text1"/>
          <w:szCs w:val="20"/>
          <w:lang w:eastAsia="de-DE"/>
        </w:rPr>
        <w:t xml:space="preserve">setzen dem Bürgerrechtsentzug Leitplanken (vgl. Deutscher Bundestag 2018: 5 ff. sowie </w:t>
      </w:r>
      <w:r w:rsidR="007E72B0">
        <w:rPr>
          <w:rFonts w:eastAsia="Times New Roman" w:cstheme="minorHAnsi"/>
          <w:color w:val="000000" w:themeColor="text1"/>
          <w:szCs w:val="20"/>
          <w:lang w:eastAsia="de-DE"/>
        </w:rPr>
        <w:br/>
      </w:r>
      <w:r w:rsidRPr="0046220B">
        <w:rPr>
          <w:rFonts w:eastAsia="Times New Roman" w:cstheme="minorHAnsi"/>
          <w:color w:val="000000" w:themeColor="text1"/>
          <w:szCs w:val="20"/>
          <w:lang w:eastAsia="de-DE"/>
        </w:rPr>
        <w:t>7 ff.).</w:t>
      </w:r>
    </w:p>
    <w:p w14:paraId="46636235" w14:textId="77777777" w:rsidR="003C268C" w:rsidRPr="0046220B" w:rsidRDefault="003C268C" w:rsidP="003C268C">
      <w:pPr>
        <w:spacing w:before="120" w:line="276" w:lineRule="auto"/>
        <w:jc w:val="both"/>
        <w:rPr>
          <w:rFonts w:eastAsia="Times New Roman" w:cstheme="minorHAnsi"/>
          <w:color w:val="000000" w:themeColor="text1"/>
          <w:szCs w:val="20"/>
          <w:lang w:eastAsia="de-DE"/>
        </w:rPr>
      </w:pPr>
      <w:r w:rsidRPr="0046220B">
        <w:rPr>
          <w:rFonts w:eastAsia="Times New Roman" w:cstheme="minorHAnsi"/>
          <w:color w:val="000000" w:themeColor="text1"/>
          <w:szCs w:val="20"/>
          <w:lang w:eastAsia="de-DE"/>
        </w:rPr>
        <w:t xml:space="preserve">(1) Menschenrechtliche Normen und Garantien stehen vorliegend im Vordergrund: </w:t>
      </w:r>
    </w:p>
    <w:p w14:paraId="6DBB6ADC" w14:textId="3C7DBE75" w:rsidR="003C268C" w:rsidRPr="0046220B" w:rsidRDefault="003C268C" w:rsidP="003C268C">
      <w:pPr>
        <w:pStyle w:val="Listenabsatz"/>
        <w:numPr>
          <w:ilvl w:val="0"/>
          <w:numId w:val="2"/>
        </w:numPr>
        <w:spacing w:before="100" w:beforeAutospacing="1" w:after="100" w:afterAutospacing="1" w:line="276" w:lineRule="auto"/>
        <w:jc w:val="both"/>
        <w:rPr>
          <w:rFonts w:eastAsia="Times New Roman" w:cstheme="minorHAnsi"/>
          <w:color w:val="000000" w:themeColor="text1"/>
          <w:kern w:val="0"/>
          <w:sz w:val="22"/>
          <w:szCs w:val="22"/>
          <w:lang w:eastAsia="de-DE"/>
          <w14:ligatures w14:val="none"/>
        </w:rPr>
      </w:pPr>
      <w:r w:rsidRPr="0046220B">
        <w:rPr>
          <w:rFonts w:eastAsia="Times New Roman" w:cstheme="minorHAnsi"/>
          <w:color w:val="000000" w:themeColor="text1"/>
          <w:kern w:val="0"/>
          <w:sz w:val="22"/>
          <w:szCs w:val="20"/>
          <w:lang w:eastAsia="de-DE"/>
          <w14:ligatures w14:val="none"/>
        </w:rPr>
        <w:t xml:space="preserve">Art. 15 der Allgemeinen Erklärung der Menschenrechte konkretisiert das Recht jeder Person auf eine Staatsangehörigkeit. Niemandem darf seine Staatsangehörigkeit willkürlich entzogen werden (vgl. Herdegen 2023: § 25 N 4; de Weck in Spescha et al. 2019: N. 3 zu Art. 42 BüG). Ebenso garantiert der Internationale Pakt über bürgerliche und politische Rechte (UNO-Pakt II) in Art. 12 Abs. 4, dass niemandem willkürlich verwehrt werden kann, in </w:t>
      </w:r>
      <w:r w:rsidR="00EF5EEA" w:rsidRPr="001674F2">
        <w:rPr>
          <w:bCs/>
        </w:rPr>
        <w:t>„</w:t>
      </w:r>
      <w:r w:rsidRPr="0046220B">
        <w:rPr>
          <w:rFonts w:eastAsia="Times New Roman" w:cstheme="minorHAnsi"/>
          <w:color w:val="000000" w:themeColor="text1"/>
          <w:kern w:val="0"/>
          <w:sz w:val="22"/>
          <w:szCs w:val="20"/>
          <w:lang w:eastAsia="de-DE"/>
          <w14:ligatures w14:val="none"/>
        </w:rPr>
        <w:t>sein eigenes Land</w:t>
      </w:r>
      <w:r w:rsidR="00EF5EEA">
        <w:rPr>
          <w:rFonts w:eastAsia="Times New Roman" w:cstheme="minorHAnsi"/>
          <w:color w:val="000000" w:themeColor="text1"/>
          <w:kern w:val="0"/>
          <w:sz w:val="22"/>
          <w:szCs w:val="20"/>
          <w:lang w:eastAsia="de-DE"/>
          <w14:ligatures w14:val="none"/>
        </w:rPr>
        <w:t>"</w:t>
      </w:r>
      <w:r w:rsidRPr="0046220B">
        <w:rPr>
          <w:rFonts w:eastAsia="Times New Roman" w:cstheme="minorHAnsi"/>
          <w:color w:val="000000" w:themeColor="text1"/>
          <w:kern w:val="0"/>
          <w:sz w:val="22"/>
          <w:szCs w:val="20"/>
          <w:lang w:eastAsia="de-DE"/>
          <w14:ligatures w14:val="none"/>
        </w:rPr>
        <w:t xml:space="preserve"> zu reisen. Diese Garantie schützt Staatsangehörige sowie Nicht-Staatsangehörige in ihrer Beziehung zu ihrem </w:t>
      </w:r>
      <w:r w:rsidR="0092207F" w:rsidRPr="001674F2">
        <w:rPr>
          <w:bCs/>
        </w:rPr>
        <w:t>„</w:t>
      </w:r>
      <w:r w:rsidRPr="0046220B">
        <w:rPr>
          <w:rFonts w:eastAsia="Times New Roman" w:cstheme="minorHAnsi"/>
          <w:color w:val="000000" w:themeColor="text1"/>
          <w:kern w:val="0"/>
          <w:sz w:val="22"/>
          <w:szCs w:val="20"/>
          <w:lang w:eastAsia="de-DE"/>
          <w14:ligatures w14:val="none"/>
        </w:rPr>
        <w:t>eigenen Land</w:t>
      </w:r>
      <w:r w:rsidR="00582921">
        <w:rPr>
          <w:rFonts w:eastAsia="Times New Roman" w:cstheme="minorHAnsi"/>
          <w:color w:val="000000" w:themeColor="text1"/>
          <w:kern w:val="0"/>
          <w:sz w:val="22"/>
          <w:szCs w:val="20"/>
          <w:lang w:eastAsia="de-DE"/>
          <w14:ligatures w14:val="none"/>
        </w:rPr>
        <w:t>"</w:t>
      </w:r>
      <w:r w:rsidR="00582921" w:rsidRPr="0046220B">
        <w:rPr>
          <w:rFonts w:eastAsia="Times New Roman" w:cstheme="minorHAnsi"/>
          <w:color w:val="000000" w:themeColor="text1"/>
          <w:kern w:val="0"/>
          <w:sz w:val="22"/>
          <w:szCs w:val="20"/>
          <w:lang w:eastAsia="de-DE"/>
          <w14:ligatures w14:val="none"/>
        </w:rPr>
        <w:t xml:space="preserve">. </w:t>
      </w:r>
      <w:r w:rsidRPr="0046220B">
        <w:rPr>
          <w:rFonts w:eastAsia="Times New Roman" w:cstheme="minorHAnsi"/>
          <w:color w:val="000000" w:themeColor="text1"/>
          <w:kern w:val="0"/>
          <w:sz w:val="22"/>
          <w:szCs w:val="20"/>
          <w:lang w:eastAsia="de-DE"/>
          <w14:ligatures w14:val="none"/>
        </w:rPr>
        <w:t xml:space="preserve">Art. 12 UNO-Pakt II kennt keine Verknüpfung der Begriffe Heimat und </w:t>
      </w:r>
      <w:r w:rsidRPr="0046220B">
        <w:rPr>
          <w:rFonts w:eastAsia="Times New Roman" w:cstheme="minorHAnsi"/>
          <w:color w:val="000000" w:themeColor="text1"/>
          <w:kern w:val="0"/>
          <w:sz w:val="22"/>
          <w:szCs w:val="20"/>
          <w:lang w:eastAsia="de-DE"/>
          <w14:ligatures w14:val="none"/>
        </w:rPr>
        <w:lastRenderedPageBreak/>
        <w:t xml:space="preserve">Nationalstaat, sondern fasst den Heimatbegriff breiter. Dies bedeutet in der Praxis, dass etwa ein venezolanisch-türkischer Doppelbürger auch Italien als </w:t>
      </w:r>
      <w:r w:rsidR="00C27AEC" w:rsidRPr="001674F2">
        <w:rPr>
          <w:bCs/>
        </w:rPr>
        <w:t>„</w:t>
      </w:r>
      <w:r w:rsidRPr="0046220B">
        <w:rPr>
          <w:rFonts w:eastAsia="Times New Roman" w:cstheme="minorHAnsi"/>
          <w:color w:val="000000" w:themeColor="text1"/>
          <w:kern w:val="0"/>
          <w:sz w:val="22"/>
          <w:szCs w:val="20"/>
          <w:lang w:eastAsia="de-DE"/>
          <w14:ligatures w14:val="none"/>
        </w:rPr>
        <w:t>eigenes Land</w:t>
      </w:r>
      <w:r w:rsidR="00C27AEC">
        <w:rPr>
          <w:rFonts w:eastAsia="Times New Roman" w:cstheme="minorHAnsi"/>
          <w:color w:val="000000" w:themeColor="text1"/>
          <w:kern w:val="0"/>
          <w:sz w:val="22"/>
          <w:szCs w:val="20"/>
          <w:lang w:eastAsia="de-DE"/>
          <w14:ligatures w14:val="none"/>
        </w:rPr>
        <w:t>"</w:t>
      </w:r>
      <w:r w:rsidR="00C27AEC" w:rsidRPr="0046220B">
        <w:rPr>
          <w:rFonts w:eastAsia="Times New Roman" w:cstheme="minorHAnsi"/>
          <w:color w:val="000000" w:themeColor="text1"/>
          <w:kern w:val="0"/>
          <w:sz w:val="22"/>
          <w:szCs w:val="20"/>
          <w:lang w:eastAsia="de-DE"/>
          <w14:ligatures w14:val="none"/>
        </w:rPr>
        <w:t xml:space="preserve"> </w:t>
      </w:r>
      <w:r w:rsidRPr="0046220B">
        <w:rPr>
          <w:rFonts w:eastAsia="Times New Roman" w:cstheme="minorHAnsi"/>
          <w:color w:val="000000" w:themeColor="text1"/>
          <w:kern w:val="0"/>
          <w:sz w:val="22"/>
          <w:szCs w:val="20"/>
          <w:lang w:eastAsia="de-DE"/>
          <w14:ligatures w14:val="none"/>
        </w:rPr>
        <w:t xml:space="preserve">bezeichnen kann. Gefordert ist lediglich eine besondere Verbundenheit zum </w:t>
      </w:r>
      <w:r w:rsidR="00DF610E" w:rsidRPr="001674F2">
        <w:rPr>
          <w:bCs/>
        </w:rPr>
        <w:t>„</w:t>
      </w:r>
      <w:r w:rsidRPr="0046220B">
        <w:rPr>
          <w:rFonts w:eastAsia="Times New Roman" w:cstheme="minorHAnsi"/>
          <w:color w:val="000000" w:themeColor="text1"/>
          <w:kern w:val="0"/>
          <w:sz w:val="22"/>
          <w:szCs w:val="20"/>
          <w:lang w:eastAsia="de-DE"/>
          <w14:ligatures w14:val="none"/>
        </w:rPr>
        <w:t>eigenen Land</w:t>
      </w:r>
      <w:r w:rsidR="007247E0">
        <w:rPr>
          <w:rFonts w:eastAsia="Times New Roman" w:cstheme="minorHAnsi"/>
          <w:color w:val="000000" w:themeColor="text1"/>
          <w:kern w:val="0"/>
          <w:sz w:val="22"/>
          <w:szCs w:val="20"/>
          <w:lang w:eastAsia="de-DE"/>
          <w14:ligatures w14:val="none"/>
        </w:rPr>
        <w:t>"</w:t>
      </w:r>
      <w:r w:rsidR="007247E0" w:rsidRPr="0046220B">
        <w:rPr>
          <w:rFonts w:eastAsia="Times New Roman" w:cstheme="minorHAnsi"/>
          <w:color w:val="000000" w:themeColor="text1"/>
          <w:kern w:val="0"/>
          <w:sz w:val="22"/>
          <w:szCs w:val="20"/>
          <w:lang w:eastAsia="de-DE"/>
          <w14:ligatures w14:val="none"/>
        </w:rPr>
        <w:t xml:space="preserve"> </w:t>
      </w:r>
      <w:r w:rsidRPr="0046220B">
        <w:rPr>
          <w:rFonts w:eastAsia="Times New Roman" w:cstheme="minorHAnsi"/>
          <w:color w:val="000000" w:themeColor="text1"/>
          <w:kern w:val="0"/>
          <w:sz w:val="22"/>
          <w:szCs w:val="20"/>
          <w:lang w:eastAsia="de-DE"/>
          <w14:ligatures w14:val="none"/>
        </w:rPr>
        <w:t xml:space="preserve">und kein italienischer Pass. Dieser sog. </w:t>
      </w:r>
      <w:r w:rsidRPr="0046220B">
        <w:rPr>
          <w:rFonts w:eastAsia="Times New Roman" w:cstheme="minorHAnsi"/>
          <w:i/>
          <w:iCs/>
          <w:color w:val="000000" w:themeColor="text1"/>
          <w:kern w:val="0"/>
          <w:sz w:val="22"/>
          <w:szCs w:val="20"/>
          <w:lang w:eastAsia="de-DE"/>
          <w14:ligatures w14:val="none"/>
        </w:rPr>
        <w:t>genuine link</w:t>
      </w:r>
      <w:r w:rsidRPr="0046220B">
        <w:rPr>
          <w:rFonts w:eastAsia="Times New Roman" w:cstheme="minorHAnsi"/>
          <w:color w:val="000000" w:themeColor="text1"/>
          <w:kern w:val="0"/>
          <w:sz w:val="22"/>
          <w:szCs w:val="20"/>
          <w:lang w:eastAsia="de-DE"/>
          <w14:ligatures w14:val="none"/>
        </w:rPr>
        <w:t xml:space="preserve"> könnte vorliegend etwa durch seine Geburt in Italien, eine lange Aufenthaltsdauer, eine erfolgreiche Integration oder </w:t>
      </w:r>
      <w:r w:rsidR="00196F29">
        <w:rPr>
          <w:rFonts w:eastAsia="Times New Roman" w:cstheme="minorHAnsi"/>
          <w:color w:val="000000" w:themeColor="text1"/>
          <w:kern w:val="0"/>
          <w:sz w:val="22"/>
          <w:szCs w:val="20"/>
          <w:lang w:eastAsia="de-DE"/>
          <w14:ligatures w14:val="none"/>
        </w:rPr>
        <w:t>durch</w:t>
      </w:r>
      <w:r w:rsidR="00196F29" w:rsidRPr="0046220B">
        <w:rPr>
          <w:rFonts w:eastAsia="Times New Roman" w:cstheme="minorHAnsi"/>
          <w:color w:val="000000" w:themeColor="text1"/>
          <w:kern w:val="0"/>
          <w:sz w:val="22"/>
          <w:szCs w:val="20"/>
          <w:lang w:eastAsia="de-DE"/>
          <w14:ligatures w14:val="none"/>
        </w:rPr>
        <w:t xml:space="preserve"> </w:t>
      </w:r>
      <w:r w:rsidR="0008700B" w:rsidRPr="0046220B">
        <w:rPr>
          <w:rFonts w:eastAsia="Times New Roman" w:cstheme="minorHAnsi"/>
          <w:color w:val="000000" w:themeColor="text1"/>
          <w:kern w:val="0"/>
          <w:sz w:val="22"/>
          <w:szCs w:val="20"/>
          <w:lang w:eastAsia="de-DE"/>
          <w14:ligatures w14:val="none"/>
        </w:rPr>
        <w:t xml:space="preserve">familiäre </w:t>
      </w:r>
      <w:r w:rsidRPr="0046220B">
        <w:rPr>
          <w:rFonts w:eastAsia="Times New Roman" w:cstheme="minorHAnsi"/>
          <w:color w:val="000000" w:themeColor="text1"/>
          <w:kern w:val="0"/>
          <w:sz w:val="22"/>
          <w:szCs w:val="20"/>
          <w:lang w:eastAsia="de-DE"/>
          <w14:ligatures w14:val="none"/>
        </w:rPr>
        <w:t xml:space="preserve">Verflechtungen entstehen. Verboten sind willkürliche und unverhältnismässige Beschränkungen der Rückkehr in das </w:t>
      </w:r>
      <w:r w:rsidR="002648A0">
        <w:t>„</w:t>
      </w:r>
      <w:r w:rsidRPr="0046220B">
        <w:rPr>
          <w:rFonts w:eastAsia="Times New Roman" w:cstheme="minorHAnsi"/>
          <w:color w:val="000000" w:themeColor="text1"/>
          <w:kern w:val="0"/>
          <w:sz w:val="22"/>
          <w:szCs w:val="20"/>
          <w:lang w:eastAsia="de-DE"/>
          <w14:ligatures w14:val="none"/>
        </w:rPr>
        <w:t>eigene Land</w:t>
      </w:r>
      <w:r w:rsidR="00EC4988">
        <w:t>“</w:t>
      </w:r>
      <w:r w:rsidRPr="0046220B">
        <w:rPr>
          <w:rFonts w:eastAsia="Times New Roman" w:cstheme="minorHAnsi"/>
          <w:color w:val="000000" w:themeColor="text1"/>
          <w:kern w:val="0"/>
          <w:sz w:val="22"/>
          <w:szCs w:val="20"/>
          <w:lang w:eastAsia="de-DE"/>
          <w14:ligatures w14:val="none"/>
        </w:rPr>
        <w:t xml:space="preserve"> (vgl. Achermann 2015: 11; </w:t>
      </w:r>
      <w:r w:rsidRPr="0046220B">
        <w:rPr>
          <w:rFonts w:cstheme="minorHAnsi"/>
          <w:color w:val="000000" w:themeColor="text1"/>
          <w:sz w:val="22"/>
          <w:szCs w:val="22"/>
        </w:rPr>
        <w:t>Kälin, Künzli: 2019, 175, 460)</w:t>
      </w:r>
      <w:r w:rsidRPr="0046220B">
        <w:rPr>
          <w:rFonts w:eastAsia="Times New Roman" w:cstheme="minorHAnsi"/>
          <w:color w:val="000000" w:themeColor="text1"/>
          <w:kern w:val="0"/>
          <w:sz w:val="22"/>
          <w:szCs w:val="20"/>
          <w:lang w:eastAsia="de-DE"/>
          <w14:ligatures w14:val="none"/>
        </w:rPr>
        <w:t>.</w:t>
      </w:r>
    </w:p>
    <w:p w14:paraId="49FF716F" w14:textId="6BD12BC2" w:rsidR="003C268C" w:rsidRPr="0046220B" w:rsidRDefault="003C268C" w:rsidP="003C268C">
      <w:pPr>
        <w:pStyle w:val="Listenabsatz"/>
        <w:numPr>
          <w:ilvl w:val="0"/>
          <w:numId w:val="2"/>
        </w:numPr>
        <w:spacing w:before="100" w:beforeAutospacing="1" w:after="100" w:afterAutospacing="1" w:line="276" w:lineRule="auto"/>
        <w:jc w:val="both"/>
        <w:rPr>
          <w:rFonts w:eastAsia="Times New Roman" w:cstheme="minorHAnsi"/>
          <w:color w:val="000000" w:themeColor="text1"/>
          <w:kern w:val="0"/>
          <w:sz w:val="22"/>
          <w:szCs w:val="20"/>
          <w:lang w:eastAsia="de-DE"/>
          <w14:ligatures w14:val="none"/>
        </w:rPr>
      </w:pPr>
      <w:r w:rsidRPr="0046220B">
        <w:rPr>
          <w:rFonts w:eastAsia="Times New Roman" w:cstheme="minorHAnsi"/>
          <w:color w:val="000000" w:themeColor="text1"/>
          <w:kern w:val="0"/>
          <w:sz w:val="22"/>
          <w:szCs w:val="20"/>
          <w:lang w:eastAsia="de-DE"/>
          <w14:ligatures w14:val="none"/>
        </w:rPr>
        <w:t xml:space="preserve">Zahleiche Menschenrechtsverträge setzen dem Bürgerrechtsentzug Grenzen. So sind Nationalstaaten in Bezug auf Bürgerrechtsfragen verpflichtet, das allgemeine Diskriminierungsverbot zu achten. Dieses umfasst den Erwerb als auch den Entzug des Bürgerrechts. Art. 5 des Übereinkommens zur Beseitigung jeder Form der Rassendiskriminierung vom 7. März 1966 und Art. 9 des Übereinkommens zur Vermeidung der Staatenlosigkeit vom </w:t>
      </w:r>
      <w:r w:rsidR="007E72B0">
        <w:rPr>
          <w:rFonts w:eastAsia="Times New Roman" w:cstheme="minorHAnsi"/>
          <w:color w:val="000000" w:themeColor="text1"/>
          <w:kern w:val="0"/>
          <w:sz w:val="22"/>
          <w:szCs w:val="20"/>
          <w:lang w:eastAsia="de-DE"/>
          <w14:ligatures w14:val="none"/>
        </w:rPr>
        <w:br/>
      </w:r>
      <w:r w:rsidRPr="0046220B">
        <w:rPr>
          <w:rFonts w:eastAsia="Times New Roman" w:cstheme="minorHAnsi"/>
          <w:color w:val="000000" w:themeColor="text1"/>
          <w:kern w:val="0"/>
          <w:sz w:val="22"/>
          <w:szCs w:val="20"/>
          <w:lang w:eastAsia="de-DE"/>
          <w14:ligatures w14:val="none"/>
        </w:rPr>
        <w:t>30. August 1961</w:t>
      </w:r>
      <w:r w:rsidRPr="0046220B">
        <w:rPr>
          <w:rStyle w:val="Funotenzeichen"/>
          <w:rFonts w:eastAsia="Times New Roman" w:cstheme="minorHAnsi"/>
          <w:color w:val="000000" w:themeColor="text1"/>
          <w:kern w:val="0"/>
          <w:sz w:val="22"/>
          <w:szCs w:val="20"/>
          <w:lang w:eastAsia="de-DE"/>
          <w14:ligatures w14:val="none"/>
        </w:rPr>
        <w:footnoteReference w:id="12"/>
      </w:r>
      <w:r w:rsidRPr="0046220B">
        <w:rPr>
          <w:rFonts w:eastAsia="Times New Roman" w:cstheme="minorHAnsi"/>
          <w:color w:val="000000" w:themeColor="text1"/>
          <w:kern w:val="0"/>
          <w:sz w:val="22"/>
          <w:szCs w:val="20"/>
          <w:lang w:eastAsia="de-DE"/>
          <w14:ligatures w14:val="none"/>
        </w:rPr>
        <w:t xml:space="preserve"> verbieten weiter den Entzug der Staatsangehörigkeit aus rassischen, ethnischen, religiösen und politischen Gründen. Angehörige des weiblichen Geschlechts sind ferner durch Art. 9 des Übereinkommens zur Beseitigung jeder Form von Diskriminierung der Frau vom </w:t>
      </w:r>
      <w:r w:rsidR="007E72B0">
        <w:rPr>
          <w:rFonts w:eastAsia="Times New Roman" w:cstheme="minorHAnsi"/>
          <w:color w:val="000000" w:themeColor="text1"/>
          <w:kern w:val="0"/>
          <w:sz w:val="22"/>
          <w:szCs w:val="20"/>
          <w:lang w:eastAsia="de-DE"/>
          <w14:ligatures w14:val="none"/>
        </w:rPr>
        <w:br/>
      </w:r>
      <w:r w:rsidRPr="0046220B">
        <w:rPr>
          <w:rFonts w:eastAsia="Times New Roman" w:cstheme="minorHAnsi"/>
          <w:color w:val="000000" w:themeColor="text1"/>
          <w:kern w:val="0"/>
          <w:sz w:val="22"/>
          <w:szCs w:val="20"/>
          <w:lang w:eastAsia="de-DE"/>
          <w14:ligatures w14:val="none"/>
        </w:rPr>
        <w:t>18. Dezember 1979 besonders geschützt: Dessen Garantien erstrecken sich auf den Erwerb, den Wechsel oder die Beibehaltung der Staatsangehörigkeit.</w:t>
      </w:r>
    </w:p>
    <w:p w14:paraId="67AF7E5F" w14:textId="1A9C93CB" w:rsidR="003C268C" w:rsidRPr="0046220B" w:rsidRDefault="003C268C" w:rsidP="003C268C">
      <w:pPr>
        <w:pStyle w:val="Listenabsatz"/>
        <w:numPr>
          <w:ilvl w:val="0"/>
          <w:numId w:val="2"/>
        </w:numPr>
        <w:spacing w:before="100" w:beforeAutospacing="1" w:after="100" w:afterAutospacing="1" w:line="276" w:lineRule="auto"/>
        <w:jc w:val="both"/>
        <w:rPr>
          <w:rFonts w:eastAsia="Times New Roman" w:cstheme="minorHAnsi"/>
          <w:color w:val="000000" w:themeColor="text1"/>
          <w:kern w:val="0"/>
          <w:sz w:val="22"/>
          <w:szCs w:val="20"/>
          <w:lang w:eastAsia="de-DE"/>
          <w14:ligatures w14:val="none"/>
        </w:rPr>
      </w:pPr>
      <w:r w:rsidRPr="0046220B">
        <w:rPr>
          <w:rFonts w:eastAsia="Times New Roman" w:cstheme="minorHAnsi"/>
          <w:color w:val="000000" w:themeColor="text1"/>
          <w:kern w:val="0"/>
          <w:sz w:val="22"/>
          <w:szCs w:val="20"/>
          <w:lang w:eastAsia="de-DE"/>
          <w14:ligatures w14:val="none"/>
        </w:rPr>
        <w:t xml:space="preserve">Im europäischen Raum kommt dem Europäische Gerichtshof für Menschenrechte (EGMR) eine fundamentale Rolle zu. Er verpflichtet die Konventionsstaaten der Europäischen Menschenrechtskonvention (EMRK) zur Achtung zentraler Garantien in Bezug auf die Staatsangehörigkeit. Die jüngere Gerichtspraxis verdeutlicht, dass die Staatsangehörigkeit Teil der </w:t>
      </w:r>
      <w:r w:rsidRPr="0046220B">
        <w:rPr>
          <w:rFonts w:eastAsia="Times New Roman" w:cstheme="minorHAnsi"/>
          <w:i/>
          <w:iCs/>
          <w:color w:val="000000" w:themeColor="text1"/>
          <w:kern w:val="0"/>
          <w:sz w:val="22"/>
          <w:szCs w:val="20"/>
          <w:lang w:eastAsia="de-DE"/>
          <w14:ligatures w14:val="none"/>
        </w:rPr>
        <w:t>sozialen</w:t>
      </w:r>
      <w:r w:rsidRPr="0046220B">
        <w:rPr>
          <w:rFonts w:eastAsia="Times New Roman" w:cstheme="minorHAnsi"/>
          <w:color w:val="000000" w:themeColor="text1"/>
          <w:kern w:val="0"/>
          <w:sz w:val="22"/>
          <w:szCs w:val="20"/>
          <w:lang w:eastAsia="de-DE"/>
          <w14:ligatures w14:val="none"/>
        </w:rPr>
        <w:t xml:space="preserve"> </w:t>
      </w:r>
      <w:r w:rsidRPr="0046220B">
        <w:rPr>
          <w:rFonts w:eastAsia="Times New Roman" w:cstheme="minorHAnsi"/>
          <w:i/>
          <w:iCs/>
          <w:color w:val="000000" w:themeColor="text1"/>
          <w:kern w:val="0"/>
          <w:sz w:val="22"/>
          <w:szCs w:val="20"/>
          <w:lang w:eastAsia="de-DE"/>
          <w14:ligatures w14:val="none"/>
        </w:rPr>
        <w:t>Identität</w:t>
      </w:r>
      <w:r w:rsidRPr="0046220B">
        <w:rPr>
          <w:rFonts w:eastAsia="Times New Roman" w:cstheme="minorHAnsi"/>
          <w:color w:val="000000" w:themeColor="text1"/>
          <w:kern w:val="0"/>
          <w:sz w:val="22"/>
          <w:szCs w:val="20"/>
          <w:lang w:eastAsia="de-DE"/>
          <w14:ligatures w14:val="none"/>
        </w:rPr>
        <w:t xml:space="preserve"> einer Person ist. Sie wird also dem Schutzbereich von Art. 8 EMRK, </w:t>
      </w:r>
      <w:r w:rsidR="00A91ADC">
        <w:rPr>
          <w:rFonts w:eastAsia="Times New Roman" w:cstheme="minorHAnsi"/>
          <w:color w:val="000000" w:themeColor="text1"/>
          <w:kern w:val="0"/>
          <w:sz w:val="22"/>
          <w:szCs w:val="20"/>
          <w:lang w:eastAsia="de-DE"/>
          <w14:ligatures w14:val="none"/>
        </w:rPr>
        <w:t>das</w:t>
      </w:r>
      <w:r w:rsidR="00A91ADC" w:rsidRPr="0046220B">
        <w:rPr>
          <w:rFonts w:eastAsia="Times New Roman" w:cstheme="minorHAnsi"/>
          <w:color w:val="000000" w:themeColor="text1"/>
          <w:kern w:val="0"/>
          <w:sz w:val="22"/>
          <w:szCs w:val="20"/>
          <w:lang w:eastAsia="de-DE"/>
          <w14:ligatures w14:val="none"/>
        </w:rPr>
        <w:t xml:space="preserve"> </w:t>
      </w:r>
      <w:r w:rsidRPr="0046220B">
        <w:rPr>
          <w:rFonts w:eastAsia="Times New Roman" w:cstheme="minorHAnsi"/>
          <w:color w:val="000000" w:themeColor="text1"/>
          <w:kern w:val="0"/>
          <w:sz w:val="22"/>
          <w:szCs w:val="20"/>
          <w:lang w:eastAsia="de-DE"/>
          <w14:ligatures w14:val="none"/>
        </w:rPr>
        <w:t>das Recht auf Privatleben garantiert, zugeordnet (vgl. Achermann 2015: 13).</w:t>
      </w:r>
      <w:r w:rsidRPr="0046220B">
        <w:rPr>
          <w:rStyle w:val="Funotenzeichen"/>
          <w:rFonts w:eastAsia="Times New Roman" w:cstheme="minorHAnsi"/>
          <w:color w:val="000000" w:themeColor="text1"/>
          <w:kern w:val="0"/>
          <w:sz w:val="22"/>
          <w:szCs w:val="20"/>
          <w:lang w:eastAsia="de-DE"/>
          <w14:ligatures w14:val="none"/>
        </w:rPr>
        <w:footnoteReference w:id="13"/>
      </w:r>
      <w:r w:rsidRPr="0046220B">
        <w:rPr>
          <w:rFonts w:eastAsia="Times New Roman" w:cstheme="minorHAnsi"/>
          <w:color w:val="000000" w:themeColor="text1"/>
          <w:kern w:val="0"/>
          <w:sz w:val="22"/>
          <w:szCs w:val="20"/>
          <w:lang w:eastAsia="de-DE"/>
          <w14:ligatures w14:val="none"/>
        </w:rPr>
        <w:t xml:space="preserve"> </w:t>
      </w:r>
      <w:proofErr w:type="gramStart"/>
      <w:r w:rsidRPr="0046220B">
        <w:rPr>
          <w:rFonts w:eastAsia="Times New Roman" w:cstheme="minorHAnsi"/>
          <w:color w:val="000000" w:themeColor="text1"/>
          <w:kern w:val="0"/>
          <w:sz w:val="22"/>
          <w:szCs w:val="20"/>
          <w:lang w:eastAsia="de-DE"/>
          <w14:ligatures w14:val="none"/>
        </w:rPr>
        <w:t>Zusätzlich</w:t>
      </w:r>
      <w:proofErr w:type="gramEnd"/>
      <w:r w:rsidRPr="0046220B">
        <w:rPr>
          <w:rFonts w:eastAsia="Times New Roman" w:cstheme="minorHAnsi"/>
          <w:color w:val="000000" w:themeColor="text1"/>
          <w:kern w:val="0"/>
          <w:sz w:val="22"/>
          <w:szCs w:val="20"/>
          <w:lang w:eastAsia="de-DE"/>
          <w14:ligatures w14:val="none"/>
        </w:rPr>
        <w:t xml:space="preserve"> verbietet Art. 14 EMRK Diskriminierungen wegen des Geschlechts, der Rasse, der Hautfarbe, der Sprache, der Religion, der politischen, nationalen oder sozialen Herkunft, der Zugehörigkeit zu einer nationalen Minderheit, des Vermögens, der Geburt oder eines sonstigen Status</w:t>
      </w:r>
      <w:r w:rsidR="00E267AA">
        <w:rPr>
          <w:rFonts w:eastAsia="Times New Roman" w:cstheme="minorHAnsi"/>
          <w:color w:val="000000" w:themeColor="text1"/>
          <w:kern w:val="0"/>
          <w:sz w:val="22"/>
          <w:szCs w:val="20"/>
          <w:lang w:eastAsia="de-DE"/>
          <w14:ligatures w14:val="none"/>
        </w:rPr>
        <w:t>’</w:t>
      </w:r>
      <w:r w:rsidRPr="0046220B">
        <w:rPr>
          <w:rFonts w:eastAsia="Times New Roman" w:cstheme="minorHAnsi"/>
          <w:color w:val="000000" w:themeColor="text1"/>
          <w:kern w:val="0"/>
          <w:sz w:val="22"/>
          <w:szCs w:val="20"/>
          <w:lang w:eastAsia="de-DE"/>
          <w14:ligatures w14:val="none"/>
        </w:rPr>
        <w:t xml:space="preserve"> beim Entzug der Staatsangehörigkeit.</w:t>
      </w:r>
      <w:r w:rsidRPr="0046220B">
        <w:rPr>
          <w:rStyle w:val="Funotenzeichen"/>
          <w:rFonts w:eastAsia="Times New Roman" w:cstheme="minorHAnsi"/>
          <w:color w:val="000000" w:themeColor="text1"/>
          <w:kern w:val="0"/>
          <w:sz w:val="22"/>
          <w:szCs w:val="20"/>
          <w:lang w:eastAsia="de-DE"/>
          <w14:ligatures w14:val="none"/>
        </w:rPr>
        <w:footnoteReference w:id="14"/>
      </w:r>
      <w:r w:rsidRPr="0046220B">
        <w:rPr>
          <w:rFonts w:eastAsia="Times New Roman" w:cstheme="minorHAnsi"/>
          <w:color w:val="000000" w:themeColor="text1"/>
          <w:kern w:val="0"/>
          <w:sz w:val="22"/>
          <w:szCs w:val="20"/>
          <w:lang w:eastAsia="de-DE"/>
          <w14:ligatures w14:val="none"/>
        </w:rPr>
        <w:t xml:space="preserve"> </w:t>
      </w:r>
    </w:p>
    <w:p w14:paraId="528FF48D" w14:textId="0ADB89DD" w:rsidR="003C268C" w:rsidRPr="0046220B" w:rsidRDefault="003C268C" w:rsidP="003C268C">
      <w:pPr>
        <w:pStyle w:val="Listenabsatz"/>
        <w:numPr>
          <w:ilvl w:val="0"/>
          <w:numId w:val="2"/>
        </w:numPr>
        <w:spacing w:before="100" w:beforeAutospacing="1" w:after="100" w:afterAutospacing="1" w:line="276" w:lineRule="auto"/>
        <w:jc w:val="both"/>
        <w:rPr>
          <w:rFonts w:eastAsia="Times New Roman" w:cstheme="minorHAnsi"/>
          <w:color w:val="000000" w:themeColor="text1"/>
          <w:kern w:val="0"/>
          <w:sz w:val="22"/>
          <w:szCs w:val="20"/>
          <w:lang w:eastAsia="de-DE"/>
          <w14:ligatures w14:val="none"/>
        </w:rPr>
      </w:pPr>
      <w:r w:rsidRPr="0046220B">
        <w:rPr>
          <w:rFonts w:eastAsia="Times New Roman" w:cstheme="minorHAnsi"/>
          <w:color w:val="000000" w:themeColor="text1"/>
          <w:kern w:val="0"/>
          <w:sz w:val="22"/>
          <w:szCs w:val="20"/>
          <w:lang w:eastAsia="de-DE"/>
          <w14:ligatures w14:val="none"/>
        </w:rPr>
        <w:t xml:space="preserve">Die UN-Völkerrechtskommission (International Law Commission, ILC) befasste sich in </w:t>
      </w:r>
      <w:r w:rsidR="00E267AA">
        <w:rPr>
          <w:rFonts w:eastAsia="Times New Roman" w:cstheme="minorHAnsi"/>
          <w:color w:val="000000" w:themeColor="text1"/>
          <w:kern w:val="0"/>
          <w:sz w:val="22"/>
          <w:szCs w:val="20"/>
          <w:lang w:eastAsia="de-DE"/>
          <w14:ligatures w14:val="none"/>
        </w:rPr>
        <w:t>ihr</w:t>
      </w:r>
      <w:r w:rsidRPr="0046220B">
        <w:rPr>
          <w:rFonts w:eastAsia="Times New Roman" w:cstheme="minorHAnsi"/>
          <w:color w:val="000000" w:themeColor="text1"/>
          <w:kern w:val="0"/>
          <w:sz w:val="22"/>
          <w:szCs w:val="20"/>
          <w:lang w:eastAsia="de-DE"/>
          <w14:ligatures w14:val="none"/>
        </w:rPr>
        <w:t xml:space="preserve">er Geschichte ebenfalls mit dem Entzug der Staatsangehörigkeit. Sie untersuchte insbesondere die Verbindung zwischen einem Bürgerrechtsentzug und einer zeitlich nachfolgenden Ausweisung der betroffenen Person. Die ILC unterstrich, dass der Bürgerrechtsentzug zum Zweck der späteren Ausweisung </w:t>
      </w:r>
      <w:r w:rsidRPr="0046220B">
        <w:rPr>
          <w:rFonts w:eastAsia="Times New Roman" w:cstheme="minorHAnsi"/>
          <w:i/>
          <w:iCs/>
          <w:color w:val="000000" w:themeColor="text1"/>
          <w:kern w:val="0"/>
          <w:sz w:val="22"/>
          <w:szCs w:val="20"/>
          <w:lang w:eastAsia="de-DE"/>
          <w14:ligatures w14:val="none"/>
        </w:rPr>
        <w:t>völkerrechtswidrig</w:t>
      </w:r>
      <w:r w:rsidRPr="0046220B">
        <w:rPr>
          <w:rFonts w:eastAsia="Times New Roman" w:cstheme="minorHAnsi"/>
          <w:color w:val="000000" w:themeColor="text1"/>
          <w:kern w:val="0"/>
          <w:sz w:val="22"/>
          <w:szCs w:val="20"/>
          <w:lang w:eastAsia="de-DE"/>
          <w14:ligatures w14:val="none"/>
        </w:rPr>
        <w:t xml:space="preserve"> und damit unzulässig ist. Es handelt sich dabei um eine verbindliche </w:t>
      </w:r>
      <w:r w:rsidRPr="0046220B">
        <w:rPr>
          <w:rFonts w:eastAsia="Times New Roman" w:cstheme="minorHAnsi"/>
          <w:i/>
          <w:iCs/>
          <w:color w:val="000000" w:themeColor="text1"/>
          <w:kern w:val="0"/>
          <w:sz w:val="22"/>
          <w:szCs w:val="20"/>
          <w:lang w:eastAsia="de-DE"/>
          <w14:ligatures w14:val="none"/>
        </w:rPr>
        <w:t>völkergewohnheitsrechtliche</w:t>
      </w:r>
      <w:r w:rsidRPr="0046220B">
        <w:rPr>
          <w:rFonts w:eastAsia="Times New Roman" w:cstheme="minorHAnsi"/>
          <w:color w:val="000000" w:themeColor="text1"/>
          <w:kern w:val="0"/>
          <w:sz w:val="22"/>
          <w:szCs w:val="20"/>
          <w:lang w:eastAsia="de-DE"/>
          <w14:ligatures w14:val="none"/>
        </w:rPr>
        <w:t xml:space="preserve"> Regel (vgl. Achermann 2015: 12). </w:t>
      </w:r>
    </w:p>
    <w:p w14:paraId="77A5B098" w14:textId="77777777" w:rsidR="003C268C" w:rsidRPr="0046220B" w:rsidRDefault="003C268C" w:rsidP="003C268C">
      <w:pPr>
        <w:spacing w:before="120" w:line="276" w:lineRule="auto"/>
        <w:jc w:val="both"/>
        <w:rPr>
          <w:rFonts w:eastAsia="Times New Roman" w:cstheme="minorHAnsi"/>
          <w:color w:val="000000" w:themeColor="text1"/>
          <w:szCs w:val="20"/>
          <w:lang w:eastAsia="de-DE"/>
        </w:rPr>
      </w:pPr>
      <w:r w:rsidRPr="0046220B">
        <w:rPr>
          <w:rFonts w:eastAsia="Times New Roman" w:cstheme="minorHAnsi"/>
          <w:color w:val="000000" w:themeColor="text1"/>
          <w:szCs w:val="20"/>
          <w:lang w:eastAsia="de-DE"/>
        </w:rPr>
        <w:t xml:space="preserve">Ein zentraler (2) </w:t>
      </w:r>
      <w:r w:rsidRPr="0046220B">
        <w:rPr>
          <w:rFonts w:eastAsia="Times New Roman" w:cstheme="minorHAnsi"/>
          <w:i/>
          <w:iCs/>
          <w:color w:val="000000" w:themeColor="text1"/>
          <w:szCs w:val="20"/>
          <w:lang w:eastAsia="de-DE"/>
        </w:rPr>
        <w:t>staatsangehörigkeitsrechtlicher Grundsatz</w:t>
      </w:r>
      <w:r w:rsidRPr="0046220B">
        <w:rPr>
          <w:rFonts w:eastAsia="Times New Roman" w:cstheme="minorHAnsi"/>
          <w:color w:val="000000" w:themeColor="text1"/>
          <w:szCs w:val="20"/>
          <w:lang w:eastAsia="de-DE"/>
        </w:rPr>
        <w:t xml:space="preserve"> ist das Übereinkommen zur Verminderung der Staatenlosigkeit vom 30. August 1961. Art. 8 Abs. 1 des Übereinkommens verbietet den Entzug der Staatsangehörigkeit, wenn die Person dadurch staatenlos wird (vgl. Deutscher Bundestag 2018: 9). </w:t>
      </w:r>
      <w:r w:rsidRPr="0046220B">
        <w:rPr>
          <w:rFonts w:eastAsia="Times New Roman" w:cstheme="minorHAnsi"/>
          <w:color w:val="000000" w:themeColor="text1"/>
          <w:szCs w:val="20"/>
          <w:lang w:eastAsia="de-DE"/>
        </w:rPr>
        <w:lastRenderedPageBreak/>
        <w:t xml:space="preserve">Dies ist der Grund, weshalb Art. 42 BüG nur bei Doppel- oder </w:t>
      </w:r>
      <w:proofErr w:type="gramStart"/>
      <w:r w:rsidRPr="0046220B">
        <w:rPr>
          <w:rFonts w:eastAsia="Times New Roman" w:cstheme="minorHAnsi"/>
          <w:color w:val="000000" w:themeColor="text1"/>
          <w:szCs w:val="20"/>
          <w:lang w:eastAsia="de-DE"/>
        </w:rPr>
        <w:t>Mehrfachbürger:innen</w:t>
      </w:r>
      <w:proofErr w:type="gramEnd"/>
      <w:r w:rsidRPr="0046220B">
        <w:rPr>
          <w:rFonts w:eastAsia="Times New Roman" w:cstheme="minorHAnsi"/>
          <w:color w:val="000000" w:themeColor="text1"/>
          <w:szCs w:val="20"/>
          <w:lang w:eastAsia="de-DE"/>
        </w:rPr>
        <w:t xml:space="preserve"> anwendbar ist und weshalb jeglicher Automatismus völkerrechtswidrig wäre.</w:t>
      </w:r>
      <w:r w:rsidRPr="0046220B">
        <w:rPr>
          <w:rStyle w:val="Funotenzeichen"/>
          <w:rFonts w:eastAsia="Times New Roman" w:cstheme="minorHAnsi"/>
          <w:color w:val="000000" w:themeColor="text1"/>
          <w:szCs w:val="20"/>
          <w:lang w:eastAsia="de-DE"/>
        </w:rPr>
        <w:footnoteReference w:id="15"/>
      </w:r>
    </w:p>
    <w:p w14:paraId="2A749C39" w14:textId="1C8EA387" w:rsidR="003C268C" w:rsidRPr="0046220B" w:rsidRDefault="003C268C" w:rsidP="003C268C">
      <w:pPr>
        <w:spacing w:before="120" w:line="276" w:lineRule="auto"/>
        <w:jc w:val="both"/>
        <w:rPr>
          <w:rFonts w:eastAsia="Times New Roman" w:cstheme="minorHAnsi"/>
          <w:color w:val="000000" w:themeColor="text1"/>
          <w:szCs w:val="20"/>
          <w:lang w:eastAsia="de-DE"/>
        </w:rPr>
      </w:pPr>
      <w:r w:rsidRPr="0046220B">
        <w:rPr>
          <w:rFonts w:eastAsia="Times New Roman" w:cstheme="minorHAnsi"/>
          <w:color w:val="000000" w:themeColor="text1"/>
          <w:szCs w:val="20"/>
          <w:lang w:eastAsia="de-DE"/>
        </w:rPr>
        <w:t xml:space="preserve">Die Staatsbürgerschaft begründet eine besondere Rechtsbeziehung zwischen den </w:t>
      </w:r>
      <w:proofErr w:type="gramStart"/>
      <w:r w:rsidRPr="0046220B">
        <w:rPr>
          <w:rFonts w:eastAsia="Times New Roman" w:cstheme="minorHAnsi"/>
          <w:color w:val="000000" w:themeColor="text1"/>
          <w:szCs w:val="20"/>
          <w:lang w:eastAsia="de-DE"/>
        </w:rPr>
        <w:t>Bürger:innen</w:t>
      </w:r>
      <w:proofErr w:type="gramEnd"/>
      <w:r w:rsidRPr="0046220B">
        <w:rPr>
          <w:rFonts w:eastAsia="Times New Roman" w:cstheme="minorHAnsi"/>
          <w:color w:val="000000" w:themeColor="text1"/>
          <w:szCs w:val="20"/>
          <w:lang w:eastAsia="de-DE"/>
        </w:rPr>
        <w:t xml:space="preserve"> und dem zugehörigen Staat (vgl. Herdegen 2023: § 25 N 2 ff.; Stein et al. 2016: 81; Deutscher Bundestag 2018: 7). Sowohl der Erwerb als auch der Verlust der Staatsangehörigkeit benötigen folglich einen zulässigen Anknüpfungspunkt. Damit ist der Bürgerrechtsentzug nur unter strengen Voraussetzungen zulässig, die gesetzlich präzise geregelt sein müssen. Dieser </w:t>
      </w:r>
      <w:r w:rsidRPr="0046220B">
        <w:rPr>
          <w:rFonts w:eastAsia="Times New Roman" w:cstheme="minorHAnsi"/>
          <w:i/>
          <w:iCs/>
          <w:color w:val="000000" w:themeColor="text1"/>
          <w:szCs w:val="20"/>
          <w:lang w:eastAsia="de-DE"/>
        </w:rPr>
        <w:t>genuine link</w:t>
      </w:r>
      <w:r w:rsidRPr="0046220B">
        <w:rPr>
          <w:rFonts w:eastAsia="Times New Roman" w:cstheme="minorHAnsi"/>
          <w:color w:val="000000" w:themeColor="text1"/>
          <w:szCs w:val="20"/>
          <w:lang w:eastAsia="de-DE"/>
        </w:rPr>
        <w:t xml:space="preserve"> zwischen Staat und </w:t>
      </w:r>
      <w:proofErr w:type="gramStart"/>
      <w:r w:rsidRPr="0046220B">
        <w:rPr>
          <w:rFonts w:eastAsia="Times New Roman" w:cstheme="minorHAnsi"/>
          <w:color w:val="000000" w:themeColor="text1"/>
          <w:szCs w:val="20"/>
          <w:lang w:eastAsia="de-DE"/>
        </w:rPr>
        <w:t>Bürger:innen</w:t>
      </w:r>
      <w:proofErr w:type="gramEnd"/>
      <w:r w:rsidRPr="0046220B">
        <w:rPr>
          <w:rFonts w:eastAsia="Times New Roman" w:cstheme="minorHAnsi"/>
          <w:color w:val="000000" w:themeColor="text1"/>
          <w:szCs w:val="20"/>
          <w:lang w:eastAsia="de-DE"/>
        </w:rPr>
        <w:t xml:space="preserve"> verpflichtet Staaten auch, Verantwortung für </w:t>
      </w:r>
      <w:proofErr w:type="gramStart"/>
      <w:r w:rsidRPr="0046220B">
        <w:rPr>
          <w:rFonts w:eastAsia="Times New Roman" w:cstheme="minorHAnsi"/>
          <w:color w:val="000000" w:themeColor="text1"/>
          <w:szCs w:val="20"/>
          <w:lang w:eastAsia="de-DE"/>
        </w:rPr>
        <w:t>Bürger:innen</w:t>
      </w:r>
      <w:proofErr w:type="gramEnd"/>
      <w:r w:rsidRPr="0046220B">
        <w:rPr>
          <w:rFonts w:eastAsia="Times New Roman" w:cstheme="minorHAnsi"/>
          <w:color w:val="000000" w:themeColor="text1"/>
          <w:szCs w:val="20"/>
          <w:lang w:eastAsia="de-DE"/>
        </w:rPr>
        <w:t xml:space="preserve"> zu übernehmen, wenn diese gegen die Regeln des Staatsverständnisses </w:t>
      </w:r>
      <w:r w:rsidR="00786D85" w:rsidRPr="0046220B">
        <w:rPr>
          <w:rFonts w:eastAsia="Times New Roman" w:cstheme="minorHAnsi"/>
          <w:color w:val="000000" w:themeColor="text1"/>
          <w:szCs w:val="20"/>
          <w:lang w:eastAsia="de-DE"/>
        </w:rPr>
        <w:t>verstoßen</w:t>
      </w:r>
      <w:r w:rsidRPr="0046220B">
        <w:rPr>
          <w:rFonts w:eastAsia="Times New Roman" w:cstheme="minorHAnsi"/>
          <w:color w:val="000000" w:themeColor="text1"/>
          <w:szCs w:val="20"/>
          <w:lang w:eastAsia="de-DE"/>
        </w:rPr>
        <w:t xml:space="preserve">. Dazu gehören nach der vorliegend vertretenen Ansicht auch </w:t>
      </w:r>
      <w:proofErr w:type="gramStart"/>
      <w:r w:rsidRPr="0046220B">
        <w:rPr>
          <w:rFonts w:eastAsia="Times New Roman" w:cstheme="minorHAnsi"/>
          <w:color w:val="000000" w:themeColor="text1"/>
          <w:szCs w:val="20"/>
          <w:lang w:eastAsia="de-DE"/>
        </w:rPr>
        <w:t>Straftäter:innen</w:t>
      </w:r>
      <w:proofErr w:type="gramEnd"/>
      <w:r w:rsidRPr="0046220B">
        <w:rPr>
          <w:rFonts w:eastAsia="Times New Roman" w:cstheme="minorHAnsi"/>
          <w:color w:val="000000" w:themeColor="text1"/>
          <w:szCs w:val="20"/>
          <w:lang w:eastAsia="de-DE"/>
        </w:rPr>
        <w:t>, die sich dem Extremismus zu</w:t>
      </w:r>
      <w:r w:rsidR="00D57D37">
        <w:rPr>
          <w:rFonts w:eastAsia="Times New Roman" w:cstheme="minorHAnsi"/>
          <w:color w:val="000000" w:themeColor="text1"/>
          <w:szCs w:val="20"/>
          <w:lang w:eastAsia="de-DE"/>
        </w:rPr>
        <w:t>ge</w:t>
      </w:r>
      <w:r w:rsidRPr="0046220B">
        <w:rPr>
          <w:rFonts w:eastAsia="Times New Roman" w:cstheme="minorHAnsi"/>
          <w:color w:val="000000" w:themeColor="text1"/>
          <w:szCs w:val="20"/>
          <w:lang w:eastAsia="de-DE"/>
        </w:rPr>
        <w:t>wandt</w:t>
      </w:r>
      <w:r w:rsidR="00D57D37">
        <w:rPr>
          <w:rFonts w:eastAsia="Times New Roman" w:cstheme="minorHAnsi"/>
          <w:color w:val="000000" w:themeColor="text1"/>
          <w:szCs w:val="20"/>
          <w:lang w:eastAsia="de-DE"/>
        </w:rPr>
        <w:t xml:space="preserve"> hab</w:t>
      </w:r>
      <w:r w:rsidRPr="0046220B">
        <w:rPr>
          <w:rFonts w:eastAsia="Times New Roman" w:cstheme="minorHAnsi"/>
          <w:color w:val="000000" w:themeColor="text1"/>
          <w:szCs w:val="20"/>
          <w:lang w:eastAsia="de-DE"/>
        </w:rPr>
        <w:t>en und Grundfesten von Rechtsstaat und Demokratie verletzen.</w:t>
      </w:r>
      <w:r w:rsidRPr="0046220B">
        <w:rPr>
          <w:rStyle w:val="Funotenzeichen"/>
          <w:rFonts w:eastAsia="Times New Roman" w:cstheme="minorHAnsi"/>
          <w:color w:val="000000" w:themeColor="text1"/>
          <w:szCs w:val="20"/>
          <w:lang w:eastAsia="de-DE"/>
        </w:rPr>
        <w:footnoteReference w:id="16"/>
      </w:r>
      <w:r w:rsidRPr="0046220B">
        <w:rPr>
          <w:rFonts w:eastAsia="Times New Roman" w:cstheme="minorHAnsi"/>
          <w:color w:val="000000" w:themeColor="text1"/>
          <w:szCs w:val="20"/>
          <w:lang w:eastAsia="de-DE"/>
        </w:rPr>
        <w:t xml:space="preserve"> Die Ausbürgerung </w:t>
      </w:r>
      <w:r w:rsidR="002348BA">
        <w:t>„</w:t>
      </w:r>
      <w:r w:rsidRPr="0046220B">
        <w:rPr>
          <w:rFonts w:eastAsia="Times New Roman" w:cstheme="minorHAnsi"/>
          <w:color w:val="000000" w:themeColor="text1"/>
          <w:szCs w:val="20"/>
          <w:lang w:eastAsia="de-DE"/>
        </w:rPr>
        <w:t>ungewollter</w:t>
      </w:r>
      <w:r w:rsidR="00166FA5">
        <w:t>“</w:t>
      </w:r>
      <w:r w:rsidRPr="0046220B">
        <w:rPr>
          <w:rFonts w:eastAsia="Times New Roman" w:cstheme="minorHAnsi"/>
          <w:color w:val="000000" w:themeColor="text1"/>
          <w:szCs w:val="20"/>
          <w:lang w:eastAsia="de-DE"/>
        </w:rPr>
        <w:t xml:space="preserve"> </w:t>
      </w:r>
      <w:proofErr w:type="gramStart"/>
      <w:r w:rsidRPr="0046220B">
        <w:rPr>
          <w:rFonts w:eastAsia="Times New Roman" w:cstheme="minorHAnsi"/>
          <w:color w:val="000000" w:themeColor="text1"/>
          <w:szCs w:val="20"/>
          <w:lang w:eastAsia="de-DE"/>
        </w:rPr>
        <w:t>Staatsbürger:innen</w:t>
      </w:r>
      <w:proofErr w:type="gramEnd"/>
      <w:r w:rsidRPr="0046220B">
        <w:rPr>
          <w:rFonts w:eastAsia="Times New Roman" w:cstheme="minorHAnsi"/>
          <w:color w:val="000000" w:themeColor="text1"/>
          <w:szCs w:val="20"/>
          <w:lang w:eastAsia="de-DE"/>
        </w:rPr>
        <w:t xml:space="preserve"> mit nachfolgender Verantwortungsübergabe an andere Völkerrechtssubjekte dürfte dieser Überzeugung widersprechen. Sie ist als unsolidarisch zu werten. Dies gilt umso mehr, wenn Radikalisierungsprozesse auf dem Territorium des ausbürgernden Staats stattgefunden hatten. Zusammenfassend bringt der </w:t>
      </w:r>
      <w:r w:rsidRPr="0046220B">
        <w:rPr>
          <w:rFonts w:eastAsia="Times New Roman" w:cstheme="minorHAnsi"/>
          <w:i/>
          <w:iCs/>
          <w:color w:val="000000" w:themeColor="text1"/>
          <w:szCs w:val="20"/>
          <w:lang w:eastAsia="de-DE"/>
        </w:rPr>
        <w:t>genuine link</w:t>
      </w:r>
      <w:r w:rsidRPr="0046220B">
        <w:rPr>
          <w:rFonts w:eastAsia="Times New Roman" w:cstheme="minorHAnsi"/>
          <w:color w:val="000000" w:themeColor="text1"/>
          <w:szCs w:val="20"/>
          <w:lang w:eastAsia="de-DE"/>
        </w:rPr>
        <w:t xml:space="preserve"> eine besondere Verantwortung gegenüber der Staatengemeinschaft im Umgang mit extremistischen und/oder radikalisierten </w:t>
      </w:r>
      <w:proofErr w:type="gramStart"/>
      <w:r w:rsidRPr="0046220B">
        <w:rPr>
          <w:rFonts w:eastAsia="Times New Roman" w:cstheme="minorHAnsi"/>
          <w:color w:val="000000" w:themeColor="text1"/>
          <w:szCs w:val="20"/>
          <w:lang w:eastAsia="de-DE"/>
        </w:rPr>
        <w:t>Bürger:innen</w:t>
      </w:r>
      <w:proofErr w:type="gramEnd"/>
      <w:r w:rsidRPr="0046220B">
        <w:rPr>
          <w:rFonts w:eastAsia="Times New Roman" w:cstheme="minorHAnsi"/>
          <w:color w:val="000000" w:themeColor="text1"/>
          <w:szCs w:val="20"/>
          <w:lang w:eastAsia="de-DE"/>
        </w:rPr>
        <w:t xml:space="preserve"> mit sich (siehe Kap. 4.5.6.).</w:t>
      </w:r>
    </w:p>
    <w:p w14:paraId="569A0ADA" w14:textId="3564BDC1" w:rsidR="003C268C" w:rsidRPr="0046220B" w:rsidRDefault="005F4735" w:rsidP="005F4735">
      <w:pPr>
        <w:pStyle w:val="3Ebene"/>
      </w:pPr>
      <w:bookmarkStart w:id="19" w:name="_Toc188272764"/>
      <w:bookmarkStart w:id="20" w:name="_Toc195609699"/>
      <w:r>
        <w:t xml:space="preserve">3.2.4 </w:t>
      </w:r>
      <w:r w:rsidR="003C268C" w:rsidRPr="0046220B">
        <w:t>Zwischenfazit</w:t>
      </w:r>
      <w:bookmarkEnd w:id="19"/>
      <w:bookmarkEnd w:id="20"/>
    </w:p>
    <w:p w14:paraId="6E9F265C" w14:textId="3F005D41" w:rsidR="003C268C" w:rsidRPr="0046220B" w:rsidRDefault="003C268C" w:rsidP="003C268C">
      <w:pPr>
        <w:spacing w:before="120" w:line="276" w:lineRule="auto"/>
        <w:jc w:val="both"/>
        <w:rPr>
          <w:rFonts w:eastAsia="Times New Roman" w:cstheme="minorHAnsi"/>
          <w:color w:val="000000" w:themeColor="text1"/>
          <w:szCs w:val="20"/>
          <w:lang w:eastAsia="de-DE"/>
        </w:rPr>
      </w:pPr>
      <w:r w:rsidRPr="0046220B">
        <w:rPr>
          <w:rFonts w:eastAsia="Times New Roman" w:cstheme="minorHAnsi"/>
          <w:color w:val="000000" w:themeColor="text1"/>
          <w:szCs w:val="20"/>
          <w:lang w:eastAsia="de-DE"/>
        </w:rPr>
        <w:t xml:space="preserve">Das Völkerrecht und der (internationale) Grund- und Menschenrechtsschutz setzen staatlichem Handeln klare Leitplanken. Dies gilt auch für den Bürgerrechtsentzug. Dieser muss sich auf eine gesetzliche Grundlage im nationalen Recht stützen und </w:t>
      </w:r>
      <w:r w:rsidR="00786D85" w:rsidRPr="0046220B">
        <w:rPr>
          <w:rFonts w:eastAsia="Times New Roman" w:cstheme="minorHAnsi"/>
          <w:color w:val="000000" w:themeColor="text1"/>
          <w:szCs w:val="20"/>
          <w:lang w:eastAsia="de-DE"/>
        </w:rPr>
        <w:t>verhältnismäßig</w:t>
      </w:r>
      <w:r w:rsidRPr="0046220B">
        <w:rPr>
          <w:rFonts w:eastAsia="Times New Roman" w:cstheme="minorHAnsi"/>
          <w:color w:val="000000" w:themeColor="text1"/>
          <w:szCs w:val="20"/>
          <w:lang w:eastAsia="de-DE"/>
        </w:rPr>
        <w:t xml:space="preserve"> erfolgen. Der Entzug des Bürgerrechts allein zum Zweck, </w:t>
      </w:r>
      <w:proofErr w:type="gramStart"/>
      <w:r w:rsidRPr="0046220B">
        <w:rPr>
          <w:rFonts w:eastAsia="Times New Roman" w:cstheme="minorHAnsi"/>
          <w:color w:val="000000" w:themeColor="text1"/>
          <w:szCs w:val="20"/>
          <w:lang w:eastAsia="de-DE"/>
        </w:rPr>
        <w:t>Straftäter:innen</w:t>
      </w:r>
      <w:proofErr w:type="gramEnd"/>
      <w:r w:rsidRPr="0046220B">
        <w:rPr>
          <w:rFonts w:eastAsia="Times New Roman" w:cstheme="minorHAnsi"/>
          <w:color w:val="000000" w:themeColor="text1"/>
          <w:szCs w:val="20"/>
          <w:lang w:eastAsia="de-DE"/>
        </w:rPr>
        <w:t xml:space="preserve"> des Landes zu verweisen oder an der Wiedereinreise zu hindern, widerspricht Völkergewohnheitsrecht. Nicht zulässig sind ferner Diskriminierungen. Nationale und internationale Verfahrensgarantien verlangen weiter, dass jeder Bürgerrechtsentzug in einem fairen und transparenten Verfahren erfolgen und sorgfältig begründet sein muss. Solange diese Voraussetzungen Beachtung finden, ist der Bürgerrechtsentzug völkerrechtlich zulässig – stets vorausgesetzt, dass der betroffenen Person durch den Entzug keine Staatenlosigkeit droht.</w:t>
      </w:r>
    </w:p>
    <w:p w14:paraId="6A8F771A" w14:textId="132966BD" w:rsidR="003C268C" w:rsidRPr="0046220B" w:rsidRDefault="003C268C" w:rsidP="003C268C">
      <w:pPr>
        <w:spacing w:before="120" w:line="276" w:lineRule="auto"/>
        <w:jc w:val="both"/>
        <w:rPr>
          <w:rFonts w:eastAsia="Times New Roman" w:cstheme="minorHAnsi"/>
          <w:color w:val="000000" w:themeColor="text1"/>
          <w:szCs w:val="20"/>
          <w:lang w:eastAsia="de-DE"/>
        </w:rPr>
      </w:pPr>
      <w:r w:rsidRPr="0046220B">
        <w:rPr>
          <w:rFonts w:eastAsia="Times New Roman" w:cstheme="minorHAnsi"/>
          <w:color w:val="000000" w:themeColor="text1"/>
          <w:szCs w:val="20"/>
          <w:lang w:eastAsia="de-DE"/>
        </w:rPr>
        <w:t>Gleichwohl stellen sich zentrale Fragen der Solid</w:t>
      </w:r>
      <w:r w:rsidR="001674F2">
        <w:rPr>
          <w:rFonts w:eastAsia="Times New Roman" w:cstheme="minorHAnsi"/>
          <w:color w:val="000000" w:themeColor="text1"/>
          <w:szCs w:val="20"/>
          <w:lang w:eastAsia="de-DE"/>
        </w:rPr>
        <w:t>ar</w:t>
      </w:r>
      <w:r w:rsidRPr="0046220B">
        <w:rPr>
          <w:rFonts w:eastAsia="Times New Roman" w:cstheme="minorHAnsi"/>
          <w:color w:val="000000" w:themeColor="text1"/>
          <w:szCs w:val="20"/>
          <w:lang w:eastAsia="de-DE"/>
        </w:rPr>
        <w:t xml:space="preserve">ität und der Verantwortung </w:t>
      </w:r>
      <w:r w:rsidR="00196F29">
        <w:rPr>
          <w:rFonts w:eastAsia="Times New Roman" w:cstheme="minorHAnsi"/>
          <w:color w:val="000000" w:themeColor="text1"/>
          <w:szCs w:val="20"/>
          <w:lang w:eastAsia="de-DE"/>
        </w:rPr>
        <w:t xml:space="preserve">innerhalb der Staatengemeinschaft </w:t>
      </w:r>
      <w:r w:rsidRPr="0046220B">
        <w:rPr>
          <w:rFonts w:eastAsia="Times New Roman" w:cstheme="minorHAnsi"/>
          <w:color w:val="000000" w:themeColor="text1"/>
          <w:szCs w:val="20"/>
          <w:lang w:eastAsia="de-DE"/>
        </w:rPr>
        <w:t xml:space="preserve">(siehe Kap. 4.5.6). Eine systematische </w:t>
      </w:r>
      <w:r w:rsidR="000D0BF9">
        <w:t>„</w:t>
      </w:r>
      <w:r w:rsidRPr="0046220B">
        <w:rPr>
          <w:rFonts w:eastAsia="Times New Roman" w:cstheme="minorHAnsi"/>
          <w:color w:val="000000" w:themeColor="text1"/>
          <w:szCs w:val="20"/>
          <w:lang w:eastAsia="de-DE"/>
        </w:rPr>
        <w:t>Verbannung</w:t>
      </w:r>
      <w:r w:rsidR="00C674DB">
        <w:t>“</w:t>
      </w:r>
      <w:r w:rsidRPr="0046220B">
        <w:rPr>
          <w:rFonts w:eastAsia="Times New Roman" w:cstheme="minorHAnsi"/>
          <w:color w:val="000000" w:themeColor="text1"/>
          <w:szCs w:val="20"/>
          <w:lang w:eastAsia="de-DE"/>
        </w:rPr>
        <w:t xml:space="preserve"> extremistischer und/oder radikalisierter </w:t>
      </w:r>
      <w:proofErr w:type="gramStart"/>
      <w:r w:rsidRPr="0046220B">
        <w:rPr>
          <w:rFonts w:eastAsia="Times New Roman" w:cstheme="minorHAnsi"/>
          <w:color w:val="000000" w:themeColor="text1"/>
          <w:szCs w:val="20"/>
          <w:lang w:eastAsia="de-DE"/>
        </w:rPr>
        <w:t>Straftäter:innen</w:t>
      </w:r>
      <w:proofErr w:type="gramEnd"/>
      <w:r w:rsidRPr="0046220B">
        <w:rPr>
          <w:rFonts w:eastAsia="Times New Roman" w:cstheme="minorHAnsi"/>
          <w:color w:val="000000" w:themeColor="text1"/>
          <w:szCs w:val="20"/>
          <w:lang w:eastAsia="de-DE"/>
        </w:rPr>
        <w:t xml:space="preserve"> aus der eigenen Wertegemeinschaft muss als wenig verlässlicher Umgang in der Staatengemeinschaft gewertet werden (vgl. Korteweg et al. 2023: 1003 ff.) Ob der Entzug des Bürgerrechts extremistischer und/oder radikalisierter </w:t>
      </w:r>
      <w:proofErr w:type="gramStart"/>
      <w:r w:rsidRPr="0046220B">
        <w:rPr>
          <w:rFonts w:eastAsia="Times New Roman" w:cstheme="minorHAnsi"/>
          <w:color w:val="000000" w:themeColor="text1"/>
          <w:szCs w:val="20"/>
          <w:lang w:eastAsia="de-DE"/>
        </w:rPr>
        <w:t>Straftäter:innen</w:t>
      </w:r>
      <w:proofErr w:type="gramEnd"/>
      <w:r w:rsidRPr="0046220B">
        <w:rPr>
          <w:rFonts w:eastAsia="Times New Roman" w:cstheme="minorHAnsi"/>
          <w:color w:val="000000" w:themeColor="text1"/>
          <w:szCs w:val="20"/>
          <w:lang w:eastAsia="de-DE"/>
        </w:rPr>
        <w:t xml:space="preserve"> aus Sicht der Präventionsarbeit geeignet ist, erläutert dieser Beitrag in Kap</w:t>
      </w:r>
      <w:r w:rsidR="00C674DB">
        <w:rPr>
          <w:rFonts w:eastAsia="Times New Roman" w:cstheme="minorHAnsi"/>
          <w:color w:val="000000" w:themeColor="text1"/>
          <w:szCs w:val="20"/>
          <w:lang w:eastAsia="de-DE"/>
        </w:rPr>
        <w:t>itel</w:t>
      </w:r>
      <w:r w:rsidRPr="0046220B">
        <w:rPr>
          <w:rFonts w:eastAsia="Times New Roman" w:cstheme="minorHAnsi"/>
          <w:color w:val="000000" w:themeColor="text1"/>
          <w:szCs w:val="20"/>
          <w:lang w:eastAsia="de-DE"/>
        </w:rPr>
        <w:t xml:space="preserve"> 4.</w:t>
      </w:r>
    </w:p>
    <w:p w14:paraId="1CD91F00" w14:textId="132966BD" w:rsidR="003C268C" w:rsidRPr="0046220B" w:rsidRDefault="005F4735" w:rsidP="005F4735">
      <w:pPr>
        <w:pStyle w:val="2Ebene"/>
      </w:pPr>
      <w:bookmarkStart w:id="21" w:name="_Toc188272765"/>
      <w:bookmarkStart w:id="22" w:name="_Toc195609700"/>
      <w:r>
        <w:lastRenderedPageBreak/>
        <w:t xml:space="preserve">3.3 </w:t>
      </w:r>
      <w:r w:rsidR="003C268C" w:rsidRPr="0046220B">
        <w:t>Kritische Überlegungen im Überblick</w:t>
      </w:r>
      <w:bookmarkEnd w:id="21"/>
      <w:bookmarkEnd w:id="22"/>
    </w:p>
    <w:p w14:paraId="508714D2" w14:textId="6B699FF8" w:rsidR="003C268C" w:rsidRPr="0046220B" w:rsidRDefault="005F4735" w:rsidP="005F4735">
      <w:pPr>
        <w:pStyle w:val="3Ebene"/>
      </w:pPr>
      <w:bookmarkStart w:id="23" w:name="_Toc188272766"/>
      <w:bookmarkStart w:id="24" w:name="_Toc195609701"/>
      <w:r>
        <w:t xml:space="preserve">3.3.1 </w:t>
      </w:r>
      <w:r w:rsidR="003C268C" w:rsidRPr="0046220B">
        <w:t>Einleitung</w:t>
      </w:r>
      <w:bookmarkEnd w:id="23"/>
      <w:bookmarkEnd w:id="24"/>
    </w:p>
    <w:p w14:paraId="6936A39D" w14:textId="31E822B9" w:rsidR="003C268C" w:rsidRPr="0046220B" w:rsidRDefault="003C268C" w:rsidP="003C268C">
      <w:pPr>
        <w:spacing w:before="120" w:line="276" w:lineRule="auto"/>
        <w:jc w:val="both"/>
        <w:rPr>
          <w:rFonts w:eastAsia="Times New Roman" w:cstheme="minorHAnsi"/>
          <w:color w:val="000000" w:themeColor="text1"/>
          <w:szCs w:val="20"/>
          <w:lang w:eastAsia="de-DE"/>
        </w:rPr>
      </w:pPr>
      <w:r w:rsidRPr="0046220B">
        <w:rPr>
          <w:rFonts w:eastAsia="Times New Roman" w:cstheme="minorHAnsi"/>
          <w:color w:val="000000" w:themeColor="text1"/>
          <w:szCs w:val="20"/>
          <w:lang w:eastAsia="de-DE"/>
        </w:rPr>
        <w:t xml:space="preserve">In engen juristischen Grenzen ist der Bürgerrechtsentzug als staatliche </w:t>
      </w:r>
      <w:r w:rsidR="00786D85" w:rsidRPr="0046220B">
        <w:rPr>
          <w:rFonts w:eastAsia="Times New Roman" w:cstheme="minorHAnsi"/>
          <w:color w:val="000000" w:themeColor="text1"/>
          <w:szCs w:val="20"/>
          <w:lang w:eastAsia="de-DE"/>
        </w:rPr>
        <w:t>Maßnahme</w:t>
      </w:r>
      <w:r w:rsidRPr="0046220B">
        <w:rPr>
          <w:rFonts w:eastAsia="Times New Roman" w:cstheme="minorHAnsi"/>
          <w:color w:val="000000" w:themeColor="text1"/>
          <w:szCs w:val="20"/>
          <w:lang w:eastAsia="de-DE"/>
        </w:rPr>
        <w:t xml:space="preserve"> möglich und zulässig. Ob, in welchen Konstellationen und in welchem </w:t>
      </w:r>
      <w:r w:rsidR="00786D85" w:rsidRPr="0046220B">
        <w:rPr>
          <w:rFonts w:eastAsia="Times New Roman" w:cstheme="minorHAnsi"/>
          <w:color w:val="000000" w:themeColor="text1"/>
          <w:szCs w:val="20"/>
          <w:lang w:eastAsia="de-DE"/>
        </w:rPr>
        <w:t>Ausmaß</w:t>
      </w:r>
      <w:r w:rsidRPr="0046220B">
        <w:rPr>
          <w:rFonts w:eastAsia="Times New Roman" w:cstheme="minorHAnsi"/>
          <w:color w:val="000000" w:themeColor="text1"/>
          <w:szCs w:val="20"/>
          <w:lang w:eastAsia="de-DE"/>
        </w:rPr>
        <w:t xml:space="preserve"> der Bürgerrechtsentzug als Instrument die avisierten Zwecke erreicht, wird im juristischen Diskurs heftig diskutiert.</w:t>
      </w:r>
    </w:p>
    <w:p w14:paraId="702FAA61" w14:textId="3E6C124E" w:rsidR="003C268C" w:rsidRPr="0046220B" w:rsidRDefault="003C268C" w:rsidP="003C268C">
      <w:pPr>
        <w:spacing w:before="120" w:line="276" w:lineRule="auto"/>
        <w:jc w:val="both"/>
        <w:rPr>
          <w:rFonts w:eastAsia="Times New Roman" w:cstheme="minorHAnsi"/>
          <w:color w:val="000000" w:themeColor="text1"/>
          <w:szCs w:val="20"/>
          <w:lang w:eastAsia="de-DE"/>
        </w:rPr>
      </w:pPr>
      <w:r w:rsidRPr="0046220B">
        <w:rPr>
          <w:rFonts w:eastAsia="Times New Roman" w:cstheme="minorHAnsi"/>
          <w:color w:val="000000" w:themeColor="text1"/>
          <w:szCs w:val="20"/>
          <w:lang w:eastAsia="de-DE"/>
        </w:rPr>
        <w:t>Anhan</w:t>
      </w:r>
      <w:r w:rsidR="003B23B1">
        <w:rPr>
          <w:rFonts w:eastAsia="Times New Roman" w:cstheme="minorHAnsi"/>
          <w:color w:val="000000" w:themeColor="text1"/>
          <w:szCs w:val="20"/>
          <w:lang w:eastAsia="de-DE"/>
        </w:rPr>
        <w:t>d</w:t>
      </w:r>
      <w:r w:rsidRPr="0046220B">
        <w:rPr>
          <w:rFonts w:eastAsia="Times New Roman" w:cstheme="minorHAnsi"/>
          <w:color w:val="000000" w:themeColor="text1"/>
          <w:szCs w:val="20"/>
          <w:lang w:eastAsia="de-DE"/>
        </w:rPr>
        <w:t xml:space="preserve"> konkreter Beispiele widmet sich der vorliegende Beitrag nachfolgend einer Auswahl zentraler Kritikpunkte und Schwachstellen und diskutiert sie. Dass der Bürgerrechtsentzug nicht </w:t>
      </w:r>
      <w:r w:rsidR="00786D85" w:rsidRPr="0046220B">
        <w:rPr>
          <w:rFonts w:eastAsia="Times New Roman" w:cstheme="minorHAnsi"/>
          <w:color w:val="000000" w:themeColor="text1"/>
          <w:szCs w:val="20"/>
          <w:lang w:eastAsia="de-DE"/>
        </w:rPr>
        <w:t>bloß</w:t>
      </w:r>
      <w:r w:rsidRPr="0046220B">
        <w:rPr>
          <w:rFonts w:eastAsia="Times New Roman" w:cstheme="minorHAnsi"/>
          <w:color w:val="000000" w:themeColor="text1"/>
          <w:szCs w:val="20"/>
          <w:lang w:eastAsia="de-DE"/>
        </w:rPr>
        <w:t xml:space="preserve"> Auswirkungen auf die betroffenen </w:t>
      </w:r>
      <w:proofErr w:type="gramStart"/>
      <w:r w:rsidRPr="0046220B">
        <w:rPr>
          <w:rFonts w:eastAsia="Times New Roman" w:cstheme="minorHAnsi"/>
          <w:color w:val="000000" w:themeColor="text1"/>
          <w:szCs w:val="20"/>
          <w:lang w:eastAsia="de-DE"/>
        </w:rPr>
        <w:t>Straftäter:innen</w:t>
      </w:r>
      <w:proofErr w:type="gramEnd"/>
      <w:r w:rsidRPr="0046220B">
        <w:rPr>
          <w:rFonts w:eastAsia="Times New Roman" w:cstheme="minorHAnsi"/>
          <w:color w:val="000000" w:themeColor="text1"/>
          <w:szCs w:val="20"/>
          <w:lang w:eastAsia="de-DE"/>
        </w:rPr>
        <w:t xml:space="preserve"> und deren soziales Umfeld hat, sondern poten</w:t>
      </w:r>
      <w:r w:rsidR="003B23B1">
        <w:rPr>
          <w:rFonts w:eastAsia="Times New Roman" w:cstheme="minorHAnsi"/>
          <w:color w:val="000000" w:themeColor="text1"/>
          <w:szCs w:val="20"/>
          <w:lang w:eastAsia="de-DE"/>
        </w:rPr>
        <w:t>z</w:t>
      </w:r>
      <w:r w:rsidRPr="0046220B">
        <w:rPr>
          <w:rFonts w:eastAsia="Times New Roman" w:cstheme="minorHAnsi"/>
          <w:color w:val="000000" w:themeColor="text1"/>
          <w:szCs w:val="20"/>
          <w:lang w:eastAsia="de-DE"/>
        </w:rPr>
        <w:t xml:space="preserve">iell auch dem Ziel, das Rechtsgut der inneren Sicherheit zu schützen, zuwiderlaufen kann, wird aufgezeigt. Die nachfolgenden Ausführungen charakterisieren weiter, inwiefern der Bürgerrechtsentzug, der nur bei </w:t>
      </w:r>
      <w:proofErr w:type="gramStart"/>
      <w:r w:rsidRPr="0046220B">
        <w:rPr>
          <w:rFonts w:eastAsia="Times New Roman" w:cstheme="minorHAnsi"/>
          <w:color w:val="000000" w:themeColor="text1"/>
          <w:szCs w:val="20"/>
          <w:lang w:eastAsia="de-DE"/>
        </w:rPr>
        <w:t>Doppelbürger:innen</w:t>
      </w:r>
      <w:proofErr w:type="gramEnd"/>
      <w:r w:rsidRPr="0046220B">
        <w:rPr>
          <w:rFonts w:eastAsia="Times New Roman" w:cstheme="minorHAnsi"/>
          <w:color w:val="000000" w:themeColor="text1"/>
          <w:szCs w:val="20"/>
          <w:lang w:eastAsia="de-DE"/>
        </w:rPr>
        <w:t xml:space="preserve"> zulässig ist, Rechtsungleichheit und Diskriminierung schaffen kann und analysiert kritisch, ob dieser im Einzelfall eine </w:t>
      </w:r>
      <w:r w:rsidR="00786D85" w:rsidRPr="0046220B">
        <w:rPr>
          <w:rFonts w:eastAsia="Times New Roman" w:cstheme="minorHAnsi"/>
          <w:color w:val="000000" w:themeColor="text1"/>
          <w:szCs w:val="20"/>
          <w:lang w:eastAsia="de-DE"/>
        </w:rPr>
        <w:t>verhältnismäßige</w:t>
      </w:r>
      <w:r w:rsidRPr="0046220B">
        <w:rPr>
          <w:rFonts w:eastAsia="Times New Roman" w:cstheme="minorHAnsi"/>
          <w:color w:val="000000" w:themeColor="text1"/>
          <w:szCs w:val="20"/>
          <w:lang w:eastAsia="de-DE"/>
        </w:rPr>
        <w:t xml:space="preserve"> – insbesondere geeignete – </w:t>
      </w:r>
      <w:r w:rsidR="00786D85" w:rsidRPr="0046220B">
        <w:rPr>
          <w:rFonts w:eastAsia="Times New Roman" w:cstheme="minorHAnsi"/>
          <w:color w:val="000000" w:themeColor="text1"/>
          <w:szCs w:val="20"/>
          <w:lang w:eastAsia="de-DE"/>
        </w:rPr>
        <w:t>Maßnahme</w:t>
      </w:r>
      <w:r w:rsidRPr="0046220B">
        <w:rPr>
          <w:rFonts w:eastAsia="Times New Roman" w:cstheme="minorHAnsi"/>
          <w:color w:val="000000" w:themeColor="text1"/>
          <w:szCs w:val="20"/>
          <w:lang w:eastAsia="de-DE"/>
        </w:rPr>
        <w:t xml:space="preserve"> zur Herstellung der inneren Sicherheit ist. </w:t>
      </w:r>
      <w:r w:rsidR="00786D85" w:rsidRPr="0046220B">
        <w:rPr>
          <w:rFonts w:eastAsia="Times New Roman" w:cstheme="minorHAnsi"/>
          <w:color w:val="000000" w:themeColor="text1"/>
          <w:szCs w:val="20"/>
          <w:lang w:eastAsia="de-DE"/>
        </w:rPr>
        <w:t>Anschließend</w:t>
      </w:r>
      <w:r w:rsidRPr="0046220B">
        <w:rPr>
          <w:rFonts w:eastAsia="Times New Roman" w:cstheme="minorHAnsi"/>
          <w:color w:val="000000" w:themeColor="text1"/>
          <w:szCs w:val="20"/>
          <w:lang w:eastAsia="de-DE"/>
        </w:rPr>
        <w:t xml:space="preserve"> wird der breite behördliche Ermessensspielraum diskutiert und auf mögliche Konsequenzen unbestimmter Rechtsbegriffe hingewiesen. </w:t>
      </w:r>
      <w:r w:rsidR="00786D85" w:rsidRPr="0046220B">
        <w:rPr>
          <w:rFonts w:eastAsia="Times New Roman" w:cstheme="minorHAnsi"/>
          <w:color w:val="000000" w:themeColor="text1"/>
          <w:szCs w:val="20"/>
          <w:lang w:eastAsia="de-DE"/>
        </w:rPr>
        <w:t>Schließlich</w:t>
      </w:r>
      <w:r w:rsidRPr="0046220B">
        <w:rPr>
          <w:rFonts w:eastAsia="Times New Roman" w:cstheme="minorHAnsi"/>
          <w:color w:val="000000" w:themeColor="text1"/>
          <w:szCs w:val="20"/>
          <w:lang w:eastAsia="de-DE"/>
        </w:rPr>
        <w:t xml:space="preserve"> folgt eine Auslegeordnung zu komplexen migrations- und aufenthaltsrechtlichen Auswirkungen, die der Bürgerrechtsentzug für die betroffenen </w:t>
      </w:r>
      <w:proofErr w:type="gramStart"/>
      <w:r w:rsidRPr="0046220B">
        <w:rPr>
          <w:rFonts w:eastAsia="Times New Roman" w:cstheme="minorHAnsi"/>
          <w:color w:val="000000" w:themeColor="text1"/>
          <w:szCs w:val="20"/>
          <w:lang w:eastAsia="de-DE"/>
        </w:rPr>
        <w:t>Straftäter:innen</w:t>
      </w:r>
      <w:proofErr w:type="gramEnd"/>
      <w:r w:rsidRPr="0046220B">
        <w:rPr>
          <w:rFonts w:eastAsia="Times New Roman" w:cstheme="minorHAnsi"/>
          <w:color w:val="000000" w:themeColor="text1"/>
          <w:szCs w:val="20"/>
          <w:lang w:eastAsia="de-DE"/>
        </w:rPr>
        <w:t>, aber auch für deren Familienmitglieder</w:t>
      </w:r>
      <w:r w:rsidR="00196F29">
        <w:rPr>
          <w:rFonts w:eastAsia="Times New Roman" w:cstheme="minorHAnsi"/>
          <w:color w:val="000000" w:themeColor="text1"/>
          <w:szCs w:val="20"/>
          <w:lang w:eastAsia="de-DE"/>
        </w:rPr>
        <w:t>,</w:t>
      </w:r>
      <w:r w:rsidRPr="0046220B">
        <w:rPr>
          <w:rFonts w:eastAsia="Times New Roman" w:cstheme="minorHAnsi"/>
          <w:color w:val="000000" w:themeColor="text1"/>
          <w:szCs w:val="20"/>
          <w:lang w:eastAsia="de-DE"/>
        </w:rPr>
        <w:t xml:space="preserve"> haben kann.</w:t>
      </w:r>
    </w:p>
    <w:p w14:paraId="6FA83E1A" w14:textId="492F359F" w:rsidR="003C268C" w:rsidRPr="0046220B" w:rsidRDefault="009F5912" w:rsidP="009F5912">
      <w:pPr>
        <w:pStyle w:val="3Ebene"/>
      </w:pPr>
      <w:bookmarkStart w:id="25" w:name="_Toc188272767"/>
      <w:bookmarkStart w:id="26" w:name="_Toc195609702"/>
      <w:r>
        <w:t xml:space="preserve">3.3.2 </w:t>
      </w:r>
      <w:r w:rsidR="003C268C" w:rsidRPr="0046220B">
        <w:t>Diskriminierende Ungleichbehandlung</w:t>
      </w:r>
      <w:bookmarkEnd w:id="25"/>
      <w:bookmarkEnd w:id="26"/>
    </w:p>
    <w:p w14:paraId="246356D2" w14:textId="660E8051" w:rsidR="003C268C" w:rsidRPr="0046220B" w:rsidRDefault="003C268C" w:rsidP="003C268C">
      <w:pPr>
        <w:spacing w:before="120" w:line="276" w:lineRule="auto"/>
        <w:jc w:val="both"/>
        <w:rPr>
          <w:rFonts w:eastAsia="Times New Roman" w:cstheme="minorHAnsi"/>
          <w:color w:val="000000" w:themeColor="text1"/>
          <w:szCs w:val="20"/>
          <w:lang w:eastAsia="de-DE"/>
        </w:rPr>
      </w:pPr>
      <w:r w:rsidRPr="0046220B">
        <w:rPr>
          <w:rFonts w:eastAsia="Times New Roman" w:cstheme="minorHAnsi"/>
          <w:color w:val="000000" w:themeColor="text1"/>
          <w:szCs w:val="20"/>
          <w:lang w:eastAsia="de-DE"/>
        </w:rPr>
        <w:t xml:space="preserve">Aus grund- und menschenrechtlicher Warte könnte es problematisch sein, dass Ausbürgerungen als verwaltungsrechtliche </w:t>
      </w:r>
      <w:r w:rsidR="00786D85" w:rsidRPr="0046220B">
        <w:rPr>
          <w:rFonts w:eastAsia="Times New Roman" w:cstheme="minorHAnsi"/>
          <w:color w:val="000000" w:themeColor="text1"/>
          <w:szCs w:val="20"/>
          <w:lang w:eastAsia="de-DE"/>
        </w:rPr>
        <w:t>Maßnahme</w:t>
      </w:r>
      <w:r w:rsidRPr="0046220B">
        <w:rPr>
          <w:rFonts w:eastAsia="Times New Roman" w:cstheme="minorHAnsi"/>
          <w:color w:val="000000" w:themeColor="text1"/>
          <w:szCs w:val="20"/>
          <w:lang w:eastAsia="de-DE"/>
        </w:rPr>
        <w:t xml:space="preserve"> nur bei Doppel- oder </w:t>
      </w:r>
      <w:proofErr w:type="gramStart"/>
      <w:r w:rsidRPr="0046220B">
        <w:rPr>
          <w:rFonts w:eastAsia="Times New Roman" w:cstheme="minorHAnsi"/>
          <w:color w:val="000000" w:themeColor="text1"/>
          <w:szCs w:val="20"/>
          <w:lang w:eastAsia="de-DE"/>
        </w:rPr>
        <w:t>Mehrfachbürger:innen</w:t>
      </w:r>
      <w:proofErr w:type="gramEnd"/>
      <w:r w:rsidRPr="0046220B">
        <w:rPr>
          <w:rFonts w:eastAsia="Times New Roman" w:cstheme="minorHAnsi"/>
          <w:color w:val="000000" w:themeColor="text1"/>
          <w:szCs w:val="20"/>
          <w:lang w:eastAsia="de-DE"/>
        </w:rPr>
        <w:t xml:space="preserve"> möglich und nicht bei allen extremistische</w:t>
      </w:r>
      <w:r w:rsidR="00D10428">
        <w:rPr>
          <w:rFonts w:eastAsia="Times New Roman" w:cstheme="minorHAnsi"/>
          <w:color w:val="000000" w:themeColor="text1"/>
          <w:szCs w:val="20"/>
          <w:lang w:eastAsia="de-DE"/>
        </w:rPr>
        <w:t>n</w:t>
      </w:r>
      <w:r w:rsidRPr="0046220B">
        <w:rPr>
          <w:rFonts w:eastAsia="Times New Roman" w:cstheme="minorHAnsi"/>
          <w:color w:val="000000" w:themeColor="text1"/>
          <w:szCs w:val="20"/>
          <w:lang w:eastAsia="de-DE"/>
        </w:rPr>
        <w:t xml:space="preserve"> und/oder radikalisierte</w:t>
      </w:r>
      <w:r w:rsidR="00D10428">
        <w:rPr>
          <w:rFonts w:eastAsia="Times New Roman" w:cstheme="minorHAnsi"/>
          <w:color w:val="000000" w:themeColor="text1"/>
          <w:szCs w:val="20"/>
          <w:lang w:eastAsia="de-DE"/>
        </w:rPr>
        <w:t>n</w:t>
      </w:r>
      <w:r w:rsidRPr="0046220B">
        <w:rPr>
          <w:rFonts w:eastAsia="Times New Roman" w:cstheme="minorHAnsi"/>
          <w:color w:val="000000" w:themeColor="text1"/>
          <w:szCs w:val="20"/>
          <w:lang w:eastAsia="de-DE"/>
        </w:rPr>
        <w:t xml:space="preserve"> </w:t>
      </w:r>
      <w:proofErr w:type="gramStart"/>
      <w:r w:rsidRPr="0046220B">
        <w:rPr>
          <w:rFonts w:eastAsia="Times New Roman" w:cstheme="minorHAnsi"/>
          <w:color w:val="000000" w:themeColor="text1"/>
          <w:szCs w:val="20"/>
          <w:lang w:eastAsia="de-DE"/>
        </w:rPr>
        <w:t>Straftäter:innen</w:t>
      </w:r>
      <w:proofErr w:type="gramEnd"/>
      <w:r w:rsidRPr="0046220B">
        <w:rPr>
          <w:rFonts w:eastAsia="Times New Roman" w:cstheme="minorHAnsi"/>
          <w:color w:val="000000" w:themeColor="text1"/>
          <w:szCs w:val="20"/>
          <w:lang w:eastAsia="de-DE"/>
        </w:rPr>
        <w:t xml:space="preserve"> anwendbar ist. Es liegt somit eine faktisch ungleiche Behandlung verschiedener Personengruppen vor, indem der Staat ein Instrument vorsieht, das nur für einen bestimmten Teil der Gesellschaft in Frage kommt. Eine Straftäterin mit </w:t>
      </w:r>
      <w:r w:rsidR="00786D85" w:rsidRPr="0046220B">
        <w:rPr>
          <w:rFonts w:eastAsia="Times New Roman" w:cstheme="minorHAnsi"/>
          <w:color w:val="000000" w:themeColor="text1"/>
          <w:szCs w:val="20"/>
          <w:lang w:eastAsia="de-DE"/>
        </w:rPr>
        <w:t>ausschließlich</w:t>
      </w:r>
      <w:r w:rsidRPr="0046220B">
        <w:rPr>
          <w:rFonts w:eastAsia="Times New Roman" w:cstheme="minorHAnsi"/>
          <w:color w:val="000000" w:themeColor="text1"/>
          <w:szCs w:val="20"/>
          <w:lang w:eastAsia="de-DE"/>
        </w:rPr>
        <w:t xml:space="preserve"> Schweizer Pass muss folglich nicht damit rechnen, diesen je zu verlieren, während eine albanisch-schweizerische Doppelbürgerin davon betroffen sein könnte. Eine </w:t>
      </w:r>
      <w:r w:rsidRPr="0046220B">
        <w:rPr>
          <w:rFonts w:eastAsia="Times New Roman" w:cstheme="minorHAnsi"/>
          <w:i/>
          <w:iCs/>
          <w:color w:val="000000" w:themeColor="text1"/>
          <w:szCs w:val="20"/>
          <w:lang w:eastAsia="de-DE"/>
        </w:rPr>
        <w:t>unbegründete</w:t>
      </w:r>
      <w:r w:rsidRPr="0046220B">
        <w:rPr>
          <w:rFonts w:eastAsia="Times New Roman" w:cstheme="minorHAnsi"/>
          <w:color w:val="000000" w:themeColor="text1"/>
          <w:szCs w:val="20"/>
          <w:lang w:eastAsia="de-DE"/>
        </w:rPr>
        <w:t xml:space="preserve"> Ungleichbehandlung von Personen mit und ohne Doppelbürgerrecht ist grundsätzlich diskriminierend und unzulässig (vgl. </w:t>
      </w:r>
      <w:r w:rsidRPr="0046220B">
        <w:rPr>
          <w:rFonts w:cstheme="minorHAnsi"/>
          <w:color w:val="000000" w:themeColor="text1"/>
        </w:rPr>
        <w:t>Kälin, Künzli 2019: 460 m.</w:t>
      </w:r>
      <w:r w:rsidR="002C0575">
        <w:rPr>
          <w:rFonts w:cstheme="minorHAnsi"/>
          <w:color w:val="000000" w:themeColor="text1"/>
        </w:rPr>
        <w:t xml:space="preserve"> </w:t>
      </w:r>
      <w:r w:rsidRPr="0046220B">
        <w:rPr>
          <w:rFonts w:cstheme="minorHAnsi"/>
          <w:color w:val="000000" w:themeColor="text1"/>
        </w:rPr>
        <w:t>w.</w:t>
      </w:r>
      <w:r w:rsidR="002C0575">
        <w:rPr>
          <w:rFonts w:cstheme="minorHAnsi"/>
          <w:color w:val="000000" w:themeColor="text1"/>
        </w:rPr>
        <w:t xml:space="preserve"> </w:t>
      </w:r>
      <w:r w:rsidRPr="0046220B">
        <w:rPr>
          <w:rFonts w:cstheme="minorHAnsi"/>
          <w:color w:val="000000" w:themeColor="text1"/>
        </w:rPr>
        <w:t>H. auf die Rechtsprechung; Grabenwarter, Pabel 2021: 667 ff.</w:t>
      </w:r>
      <w:r w:rsidRPr="0046220B">
        <w:rPr>
          <w:rFonts w:eastAsia="Times New Roman" w:cstheme="minorHAnsi"/>
          <w:color w:val="000000" w:themeColor="text1"/>
          <w:szCs w:val="20"/>
          <w:lang w:eastAsia="de-DE"/>
        </w:rPr>
        <w:t>). Damit eine ungleiche Behandlung im Einzelfall gerechtfertigt und legitim ist, hängt davon ab, ob sie objektiv begründet werden kann.</w:t>
      </w:r>
    </w:p>
    <w:p w14:paraId="12067502" w14:textId="02051291" w:rsidR="003C268C" w:rsidRPr="0046220B" w:rsidRDefault="003C268C" w:rsidP="003C268C">
      <w:pPr>
        <w:spacing w:before="120" w:line="276" w:lineRule="auto"/>
        <w:jc w:val="both"/>
        <w:rPr>
          <w:rFonts w:cstheme="minorHAnsi"/>
          <w:color w:val="000000" w:themeColor="text1"/>
        </w:rPr>
      </w:pPr>
      <w:r w:rsidRPr="0046220B">
        <w:rPr>
          <w:rFonts w:eastAsia="Times New Roman" w:cstheme="minorHAnsi"/>
          <w:color w:val="000000" w:themeColor="text1"/>
          <w:szCs w:val="20"/>
          <w:lang w:eastAsia="de-DE"/>
        </w:rPr>
        <w:t xml:space="preserve">In seiner Rechtsprechung zum Bürgerrechtsentzug verwies das Bundesgericht darauf, dass eine Ungleichbehandlung von </w:t>
      </w:r>
      <w:proofErr w:type="gramStart"/>
      <w:r w:rsidRPr="0046220B">
        <w:rPr>
          <w:rFonts w:eastAsia="Times New Roman" w:cstheme="minorHAnsi"/>
          <w:color w:val="000000" w:themeColor="text1"/>
          <w:szCs w:val="20"/>
          <w:lang w:eastAsia="de-DE"/>
        </w:rPr>
        <w:t>Schweizer:innen</w:t>
      </w:r>
      <w:proofErr w:type="gramEnd"/>
      <w:r w:rsidRPr="0046220B">
        <w:rPr>
          <w:rFonts w:eastAsia="Times New Roman" w:cstheme="minorHAnsi"/>
          <w:color w:val="000000" w:themeColor="text1"/>
          <w:szCs w:val="20"/>
          <w:lang w:eastAsia="de-DE"/>
        </w:rPr>
        <w:t xml:space="preserve"> und </w:t>
      </w:r>
      <w:proofErr w:type="gramStart"/>
      <w:r w:rsidRPr="0046220B">
        <w:rPr>
          <w:rFonts w:eastAsia="Times New Roman" w:cstheme="minorHAnsi"/>
          <w:color w:val="000000" w:themeColor="text1"/>
          <w:szCs w:val="20"/>
          <w:lang w:eastAsia="de-DE"/>
        </w:rPr>
        <w:t>Doppelbürger:innen</w:t>
      </w:r>
      <w:proofErr w:type="gramEnd"/>
      <w:r w:rsidRPr="0046220B">
        <w:rPr>
          <w:rFonts w:eastAsia="Times New Roman" w:cstheme="minorHAnsi"/>
          <w:color w:val="000000" w:themeColor="text1"/>
          <w:szCs w:val="20"/>
          <w:lang w:eastAsia="de-DE"/>
        </w:rPr>
        <w:t xml:space="preserve"> bei Ausbürgerungen gesetzlich vorgesehen und notwendig sei, um die Staatenlosigkeit von Personen ohne doppeltes Bürgerrecht zu verhindern. In der Schweiz verfügen über 25 % der </w:t>
      </w:r>
      <w:proofErr w:type="gramStart"/>
      <w:r w:rsidRPr="0046220B">
        <w:rPr>
          <w:rFonts w:eastAsia="Times New Roman" w:cstheme="minorHAnsi"/>
          <w:color w:val="000000" w:themeColor="text1"/>
          <w:szCs w:val="20"/>
          <w:lang w:eastAsia="de-DE"/>
        </w:rPr>
        <w:t>Einwohner:innen</w:t>
      </w:r>
      <w:proofErr w:type="gramEnd"/>
      <w:r w:rsidRPr="0046220B">
        <w:rPr>
          <w:rFonts w:eastAsia="Times New Roman" w:cstheme="minorHAnsi"/>
          <w:color w:val="000000" w:themeColor="text1"/>
          <w:szCs w:val="20"/>
          <w:lang w:eastAsia="de-DE"/>
        </w:rPr>
        <w:t xml:space="preserve"> über eine zweite Staatsangehörigkeit. Hier wird der Schweizer Pass mehrheitlich nach einem erfolgreichen Einbürgerungsverfahren erteilt. Die </w:t>
      </w:r>
      <w:r w:rsidR="00786D85" w:rsidRPr="0046220B">
        <w:rPr>
          <w:rFonts w:eastAsia="Times New Roman" w:cstheme="minorHAnsi"/>
          <w:color w:val="000000" w:themeColor="text1"/>
          <w:szCs w:val="20"/>
          <w:lang w:eastAsia="de-DE"/>
        </w:rPr>
        <w:t>große</w:t>
      </w:r>
      <w:r w:rsidRPr="0046220B">
        <w:rPr>
          <w:rFonts w:eastAsia="Times New Roman" w:cstheme="minorHAnsi"/>
          <w:color w:val="000000" w:themeColor="text1"/>
          <w:szCs w:val="20"/>
          <w:lang w:eastAsia="de-DE"/>
        </w:rPr>
        <w:t xml:space="preserve"> Mehrheit von </w:t>
      </w:r>
      <w:proofErr w:type="gramStart"/>
      <w:r w:rsidRPr="0046220B">
        <w:rPr>
          <w:rFonts w:eastAsia="Times New Roman" w:cstheme="minorHAnsi"/>
          <w:color w:val="000000" w:themeColor="text1"/>
          <w:szCs w:val="20"/>
          <w:lang w:eastAsia="de-DE"/>
        </w:rPr>
        <w:t>Doppelbürger:innen</w:t>
      </w:r>
      <w:proofErr w:type="gramEnd"/>
      <w:r w:rsidRPr="0046220B">
        <w:rPr>
          <w:rFonts w:eastAsia="Times New Roman" w:cstheme="minorHAnsi"/>
          <w:color w:val="000000" w:themeColor="text1"/>
          <w:szCs w:val="20"/>
          <w:lang w:eastAsia="de-DE"/>
        </w:rPr>
        <w:t xml:space="preserve"> umfasst damit Personen mit Migrations- und Flucht</w:t>
      </w:r>
      <w:r w:rsidR="00B76318">
        <w:rPr>
          <w:rFonts w:eastAsia="Times New Roman" w:cstheme="minorHAnsi"/>
          <w:color w:val="000000" w:themeColor="text1"/>
          <w:szCs w:val="20"/>
          <w:lang w:eastAsia="de-DE"/>
        </w:rPr>
        <w:t>h</w:t>
      </w:r>
      <w:r w:rsidRPr="0046220B">
        <w:rPr>
          <w:rFonts w:eastAsia="Times New Roman" w:cstheme="minorHAnsi"/>
          <w:color w:val="000000" w:themeColor="text1"/>
          <w:szCs w:val="20"/>
          <w:lang w:eastAsia="de-DE"/>
        </w:rPr>
        <w:t>intergrund, wobei z.</w:t>
      </w:r>
      <w:r w:rsidR="002E096A">
        <w:rPr>
          <w:rFonts w:eastAsia="Times New Roman" w:cstheme="minorHAnsi"/>
          <w:color w:val="000000" w:themeColor="text1"/>
          <w:szCs w:val="20"/>
          <w:lang w:eastAsia="de-DE"/>
        </w:rPr>
        <w:t xml:space="preserve"> </w:t>
      </w:r>
      <w:r w:rsidRPr="0046220B">
        <w:rPr>
          <w:rFonts w:eastAsia="Times New Roman" w:cstheme="minorHAnsi"/>
          <w:color w:val="000000" w:themeColor="text1"/>
          <w:szCs w:val="20"/>
          <w:lang w:eastAsia="de-DE"/>
        </w:rPr>
        <w:t xml:space="preserve">B. schweizerisch-amerikanische </w:t>
      </w:r>
      <w:proofErr w:type="gramStart"/>
      <w:r w:rsidRPr="0046220B">
        <w:rPr>
          <w:rFonts w:eastAsia="Times New Roman" w:cstheme="minorHAnsi"/>
          <w:color w:val="000000" w:themeColor="text1"/>
          <w:szCs w:val="20"/>
          <w:lang w:eastAsia="de-DE"/>
        </w:rPr>
        <w:t>Doppelbürger:innen</w:t>
      </w:r>
      <w:proofErr w:type="gramEnd"/>
      <w:r w:rsidRPr="0046220B">
        <w:rPr>
          <w:rFonts w:eastAsia="Times New Roman" w:cstheme="minorHAnsi"/>
          <w:color w:val="000000" w:themeColor="text1"/>
          <w:szCs w:val="20"/>
          <w:lang w:eastAsia="de-DE"/>
        </w:rPr>
        <w:t>, die ihre US-Staatsbürgerschaft nach dem Geburtsortsprinzip (ius soli) erhalten haben und Schweizer Abstammung sind, die Minderheit bilden. Die Gruppe in die Schweiz migrierter Menschen ausländischer Staatsangehörigkeit, die nach längerer Anwesenheit eingebürgert wurden, sind folglich von einer poten</w:t>
      </w:r>
      <w:r w:rsidR="00955CFD">
        <w:rPr>
          <w:rFonts w:eastAsia="Times New Roman" w:cstheme="minorHAnsi"/>
          <w:color w:val="000000" w:themeColor="text1"/>
          <w:szCs w:val="20"/>
          <w:lang w:eastAsia="de-DE"/>
        </w:rPr>
        <w:t>z</w:t>
      </w:r>
      <w:r w:rsidRPr="0046220B">
        <w:rPr>
          <w:rFonts w:eastAsia="Times New Roman" w:cstheme="minorHAnsi"/>
          <w:color w:val="000000" w:themeColor="text1"/>
          <w:szCs w:val="20"/>
          <w:lang w:eastAsia="de-DE"/>
        </w:rPr>
        <w:t xml:space="preserve">iellen Ausbürgerung nach Art. 42 BüG stärker betroffen. Daraus resultiert eine statistische Häufigkeit indirekter Ungleichbehandlungen. Dies ist umso mehr der Fall, da im Phänomenbereich Extremismus und Radikalisierung mehrheitlich </w:t>
      </w:r>
      <w:proofErr w:type="gramStart"/>
      <w:r w:rsidRPr="0046220B">
        <w:rPr>
          <w:rFonts w:eastAsia="Times New Roman" w:cstheme="minorHAnsi"/>
          <w:color w:val="000000" w:themeColor="text1"/>
          <w:szCs w:val="20"/>
          <w:lang w:eastAsia="de-DE"/>
        </w:rPr>
        <w:t>Doppelbürger:innen</w:t>
      </w:r>
      <w:proofErr w:type="gramEnd"/>
      <w:r w:rsidRPr="0046220B">
        <w:rPr>
          <w:rFonts w:eastAsia="Times New Roman" w:cstheme="minorHAnsi"/>
          <w:color w:val="000000" w:themeColor="text1"/>
          <w:szCs w:val="20"/>
          <w:lang w:eastAsia="de-DE"/>
        </w:rPr>
        <w:t xml:space="preserve"> mit </w:t>
      </w:r>
      <w:r w:rsidRPr="0046220B">
        <w:rPr>
          <w:rFonts w:eastAsia="Times New Roman" w:cstheme="minorHAnsi"/>
          <w:color w:val="000000" w:themeColor="text1"/>
          <w:szCs w:val="20"/>
          <w:lang w:eastAsia="de-DE"/>
        </w:rPr>
        <w:lastRenderedPageBreak/>
        <w:t>muslimischem Hintergrund von Ausbürgerungen betroffen sind (siehe Kap. 4.5.2; vgl. Korteweg et al. 2023: 1003 ff.;</w:t>
      </w:r>
      <w:r w:rsidRPr="0046220B">
        <w:rPr>
          <w:rFonts w:cstheme="minorHAnsi"/>
          <w:color w:val="000000" w:themeColor="text1"/>
        </w:rPr>
        <w:t xml:space="preserve"> von Rütte 2023: 23; Hanimann in: Republik 2019). </w:t>
      </w:r>
    </w:p>
    <w:p w14:paraId="1CC3827B" w14:textId="555DA1FB" w:rsidR="003C268C" w:rsidRPr="0046220B" w:rsidRDefault="003C268C" w:rsidP="003C268C">
      <w:pPr>
        <w:spacing w:before="120" w:line="276" w:lineRule="auto"/>
        <w:jc w:val="both"/>
        <w:rPr>
          <w:rFonts w:eastAsia="Times New Roman" w:cstheme="minorHAnsi"/>
          <w:color w:val="000000" w:themeColor="text1"/>
          <w:szCs w:val="20"/>
          <w:lang w:eastAsia="de-DE"/>
        </w:rPr>
      </w:pPr>
      <w:r w:rsidRPr="0046220B">
        <w:rPr>
          <w:rFonts w:cstheme="minorHAnsi"/>
          <w:color w:val="000000" w:themeColor="text1"/>
        </w:rPr>
        <w:t xml:space="preserve">Als </w:t>
      </w:r>
      <w:r w:rsidRPr="0046220B">
        <w:rPr>
          <w:rFonts w:cstheme="minorHAnsi"/>
          <w:i/>
          <w:iCs/>
          <w:color w:val="000000" w:themeColor="text1"/>
        </w:rPr>
        <w:t>indirekte Diskriminierungen</w:t>
      </w:r>
      <w:r w:rsidRPr="0046220B">
        <w:rPr>
          <w:rFonts w:cstheme="minorHAnsi"/>
          <w:color w:val="000000" w:themeColor="text1"/>
        </w:rPr>
        <w:t xml:space="preserve"> wird bezeichnet, wenn eine an sich neutrale staatliche </w:t>
      </w:r>
      <w:r w:rsidR="00786D85" w:rsidRPr="0046220B">
        <w:rPr>
          <w:rFonts w:cstheme="minorHAnsi"/>
          <w:color w:val="000000" w:themeColor="text1"/>
        </w:rPr>
        <w:t>Maßnahme</w:t>
      </w:r>
      <w:r w:rsidRPr="0046220B">
        <w:rPr>
          <w:rFonts w:cstheme="minorHAnsi"/>
          <w:color w:val="000000" w:themeColor="text1"/>
        </w:rPr>
        <w:t xml:space="preserve"> faktisch zu einer Ungleichbehandlung führt, die </w:t>
      </w:r>
      <w:r w:rsidR="00786D85" w:rsidRPr="0046220B">
        <w:rPr>
          <w:rFonts w:cstheme="minorHAnsi"/>
          <w:color w:val="000000" w:themeColor="text1"/>
        </w:rPr>
        <w:t>ausschließlich</w:t>
      </w:r>
      <w:r w:rsidRPr="0046220B">
        <w:rPr>
          <w:rFonts w:cstheme="minorHAnsi"/>
          <w:color w:val="000000" w:themeColor="text1"/>
        </w:rPr>
        <w:t xml:space="preserve"> oder überwiegend Auswirkungen auf Angehörige einer Gruppe hat, auf die ein sog. </w:t>
      </w:r>
      <w:r w:rsidRPr="0046220B">
        <w:rPr>
          <w:rFonts w:cstheme="minorHAnsi"/>
          <w:i/>
          <w:iCs/>
          <w:color w:val="000000" w:themeColor="text1"/>
        </w:rPr>
        <w:t>verpöntes Merkmal</w:t>
      </w:r>
      <w:r w:rsidRPr="0046220B">
        <w:rPr>
          <w:rFonts w:cstheme="minorHAnsi"/>
          <w:color w:val="000000" w:themeColor="text1"/>
        </w:rPr>
        <w:t xml:space="preserve"> wie Herkunft, Ethnie, Geschlecht oder soziale Stellung zutrifft. Genau dies trifft bei </w:t>
      </w:r>
      <w:proofErr w:type="gramStart"/>
      <w:r w:rsidRPr="0046220B">
        <w:rPr>
          <w:rFonts w:cstheme="minorHAnsi"/>
          <w:color w:val="000000" w:themeColor="text1"/>
        </w:rPr>
        <w:t>Doppelbürger:innen</w:t>
      </w:r>
      <w:proofErr w:type="gramEnd"/>
      <w:r w:rsidRPr="0046220B">
        <w:rPr>
          <w:rFonts w:cstheme="minorHAnsi"/>
          <w:color w:val="000000" w:themeColor="text1"/>
        </w:rPr>
        <w:t xml:space="preserve"> muslimischen Glaubens offensichtlich zu. Sie sind indirekt stärker von Ausbürgerungen betroffen als etwa Menschen mit schweizerisch-thailändischer oder schweizerisch-sri-lankischer Nationalität. Damit eine solche Ungleichbehandlung gerechtfertigt ist, verlangt </w:t>
      </w:r>
      <w:r w:rsidRPr="0046220B">
        <w:rPr>
          <w:rFonts w:eastAsia="Times New Roman" w:cstheme="minorHAnsi"/>
          <w:color w:val="000000" w:themeColor="text1"/>
          <w:szCs w:val="20"/>
          <w:lang w:eastAsia="de-DE"/>
        </w:rPr>
        <w:t xml:space="preserve">Art. 8 Abs. 2 BV sog. </w:t>
      </w:r>
      <w:r w:rsidRPr="0046220B">
        <w:rPr>
          <w:rFonts w:eastAsia="Times New Roman" w:cstheme="minorHAnsi"/>
          <w:i/>
          <w:iCs/>
          <w:color w:val="000000" w:themeColor="text1"/>
          <w:szCs w:val="20"/>
          <w:lang w:eastAsia="de-DE"/>
        </w:rPr>
        <w:t>qualifizierte Rechtfertigungsgründe</w:t>
      </w:r>
      <w:r w:rsidRPr="0046220B">
        <w:rPr>
          <w:rFonts w:eastAsia="Times New Roman" w:cstheme="minorHAnsi"/>
          <w:color w:val="000000" w:themeColor="text1"/>
          <w:szCs w:val="20"/>
          <w:lang w:eastAsia="de-DE"/>
        </w:rPr>
        <w:t xml:space="preserve">. Hierbei dürfen Ungleichbehandlungen aber gerade </w:t>
      </w:r>
      <w:r w:rsidRPr="0046220B">
        <w:rPr>
          <w:rFonts w:eastAsia="Times New Roman" w:cstheme="minorHAnsi"/>
          <w:i/>
          <w:iCs/>
          <w:color w:val="000000" w:themeColor="text1"/>
          <w:szCs w:val="20"/>
          <w:lang w:eastAsia="de-DE"/>
        </w:rPr>
        <w:t>nicht</w:t>
      </w:r>
      <w:r w:rsidRPr="0046220B">
        <w:rPr>
          <w:rFonts w:eastAsia="Times New Roman" w:cstheme="minorHAnsi"/>
          <w:color w:val="000000" w:themeColor="text1"/>
          <w:szCs w:val="20"/>
          <w:lang w:eastAsia="de-DE"/>
        </w:rPr>
        <w:t xml:space="preserve"> an das Unterscheidungsmerkmal anknüpfen, das die diskriminierte Gruppe definiert. Es sei an dieser Stelle zudem darauf hingewiesen, dass eine Reihe an Staaten – etwa Afghanistan, Algerien, Libanon oder Tunesien – ihren </w:t>
      </w:r>
      <w:proofErr w:type="gramStart"/>
      <w:r w:rsidRPr="0046220B">
        <w:rPr>
          <w:rFonts w:eastAsia="Times New Roman" w:cstheme="minorHAnsi"/>
          <w:color w:val="000000" w:themeColor="text1"/>
          <w:szCs w:val="20"/>
          <w:lang w:eastAsia="de-DE"/>
        </w:rPr>
        <w:t>Bürger:innen</w:t>
      </w:r>
      <w:proofErr w:type="gramEnd"/>
      <w:r w:rsidRPr="0046220B">
        <w:rPr>
          <w:rFonts w:eastAsia="Times New Roman" w:cstheme="minorHAnsi"/>
          <w:color w:val="000000" w:themeColor="text1"/>
          <w:szCs w:val="20"/>
          <w:lang w:eastAsia="de-DE"/>
        </w:rPr>
        <w:t xml:space="preserve"> nicht erlauben, die Staatsbürgerschaft überhaupt aufzugeben.</w:t>
      </w:r>
    </w:p>
    <w:p w14:paraId="1371575E" w14:textId="041BEC02" w:rsidR="003C268C" w:rsidRPr="0046220B" w:rsidRDefault="003C268C" w:rsidP="003C268C">
      <w:pPr>
        <w:spacing w:before="120" w:line="276" w:lineRule="auto"/>
        <w:jc w:val="both"/>
        <w:rPr>
          <w:rFonts w:eastAsia="Times New Roman" w:cstheme="minorHAnsi"/>
          <w:color w:val="000000" w:themeColor="text1"/>
          <w:szCs w:val="20"/>
          <w:lang w:eastAsia="de-DE"/>
        </w:rPr>
      </w:pPr>
      <w:r w:rsidRPr="0046220B">
        <w:rPr>
          <w:rFonts w:eastAsia="Times New Roman" w:cstheme="minorHAnsi"/>
          <w:color w:val="000000" w:themeColor="text1"/>
          <w:szCs w:val="20"/>
          <w:lang w:eastAsia="de-DE"/>
        </w:rPr>
        <w:t>In ihrer Rechtsprechung zu Ausbürgerungsverfahren beschäftigten sich die höchsten Gerichte mit diesen zentralen Fragen nur am Rande. In ihren Ausführungen stellten sie zudem mitunter genau auf das verpönte Merkmal der (einfachen) Staatsbürgerschaft ab: Das Bundesverwaltungsgericht argumentierte explizit, dass der Bürgerrechtsentzug nur bei Menschen mit doppelter Staatsbürgershaft möglich sei (vgl. BVGer F-5427/2019 vom 31. Mai 2021 E. 7).</w:t>
      </w:r>
      <w:r w:rsidRPr="0046220B">
        <w:rPr>
          <w:rStyle w:val="Funotenzeichen"/>
          <w:rFonts w:eastAsia="Times New Roman" w:cstheme="minorHAnsi"/>
          <w:color w:val="000000" w:themeColor="text1"/>
          <w:szCs w:val="20"/>
          <w:lang w:eastAsia="de-DE"/>
        </w:rPr>
        <w:footnoteReference w:id="17"/>
      </w:r>
      <w:r w:rsidRPr="0046220B">
        <w:rPr>
          <w:rFonts w:eastAsia="Times New Roman" w:cstheme="minorHAnsi"/>
          <w:color w:val="000000" w:themeColor="text1"/>
          <w:szCs w:val="20"/>
          <w:lang w:eastAsia="de-DE"/>
        </w:rPr>
        <w:t xml:space="preserve"> Aus juristischer Perspektive sorgt diese Argumentation zu Recht für Kritik. So wird doch explizit auf das verpönte Merkmal der Staatsangehörigkeit abgestellt, um eine staatliche </w:t>
      </w:r>
      <w:r w:rsidR="00786D85" w:rsidRPr="0046220B">
        <w:rPr>
          <w:rFonts w:eastAsia="Times New Roman" w:cstheme="minorHAnsi"/>
          <w:color w:val="000000" w:themeColor="text1"/>
          <w:szCs w:val="20"/>
          <w:lang w:eastAsia="de-DE"/>
        </w:rPr>
        <w:t>Maßnahme</w:t>
      </w:r>
      <w:r w:rsidRPr="0046220B">
        <w:rPr>
          <w:rFonts w:eastAsia="Times New Roman" w:cstheme="minorHAnsi"/>
          <w:color w:val="000000" w:themeColor="text1"/>
          <w:szCs w:val="20"/>
          <w:lang w:eastAsia="de-DE"/>
        </w:rPr>
        <w:t xml:space="preserve"> vorzunehmen oder nicht (</w:t>
      </w:r>
      <w:r w:rsidRPr="0046220B">
        <w:rPr>
          <w:rFonts w:cstheme="minorHAnsi"/>
          <w:color w:val="000000" w:themeColor="text1"/>
        </w:rPr>
        <w:t>vgl. von Rütte 2023: 23; Hanimann in: Republik 2019)</w:t>
      </w:r>
      <w:r w:rsidRPr="0046220B">
        <w:rPr>
          <w:rFonts w:eastAsia="Times New Roman" w:cstheme="minorHAnsi"/>
          <w:color w:val="000000" w:themeColor="text1"/>
          <w:szCs w:val="20"/>
          <w:lang w:eastAsia="de-DE"/>
        </w:rPr>
        <w:t>.</w:t>
      </w:r>
      <w:r w:rsidRPr="0046220B">
        <w:rPr>
          <w:rStyle w:val="Funotenzeichen"/>
          <w:rFonts w:eastAsia="Times New Roman" w:cstheme="minorHAnsi"/>
          <w:color w:val="000000" w:themeColor="text1"/>
          <w:szCs w:val="20"/>
          <w:lang w:eastAsia="de-DE"/>
        </w:rPr>
        <w:footnoteReference w:id="18"/>
      </w:r>
      <w:r w:rsidRPr="0046220B">
        <w:rPr>
          <w:rFonts w:eastAsia="Times New Roman" w:cstheme="minorHAnsi"/>
          <w:color w:val="000000" w:themeColor="text1"/>
          <w:szCs w:val="20"/>
          <w:lang w:eastAsia="de-DE"/>
        </w:rPr>
        <w:t xml:space="preserve"> </w:t>
      </w:r>
    </w:p>
    <w:p w14:paraId="7E316AD7" w14:textId="11EFC651" w:rsidR="003C268C" w:rsidRPr="0046220B" w:rsidRDefault="009F5912" w:rsidP="009F5912">
      <w:pPr>
        <w:pStyle w:val="3Ebene"/>
      </w:pPr>
      <w:bookmarkStart w:id="27" w:name="_Toc188272768"/>
      <w:bookmarkStart w:id="28" w:name="_Toc195609703"/>
      <w:r>
        <w:t xml:space="preserve">3.3.3 </w:t>
      </w:r>
      <w:r w:rsidR="00786D85" w:rsidRPr="0046220B">
        <w:t>Verhältnismäßigkeit</w:t>
      </w:r>
      <w:r w:rsidR="003C268C" w:rsidRPr="0046220B">
        <w:t xml:space="preserve"> des Bürgerrechtsentzugs</w:t>
      </w:r>
      <w:bookmarkEnd w:id="27"/>
      <w:bookmarkEnd w:id="28"/>
    </w:p>
    <w:p w14:paraId="48DCB510" w14:textId="5288B161" w:rsidR="003C268C" w:rsidRPr="0046220B" w:rsidRDefault="003C268C" w:rsidP="003C268C">
      <w:pPr>
        <w:spacing w:before="120" w:line="276" w:lineRule="auto"/>
        <w:jc w:val="both"/>
        <w:rPr>
          <w:rFonts w:eastAsia="Times New Roman" w:cstheme="minorHAnsi"/>
          <w:color w:val="000000" w:themeColor="text1"/>
          <w:szCs w:val="20"/>
          <w:lang w:eastAsia="de-DE"/>
        </w:rPr>
      </w:pPr>
      <w:r w:rsidRPr="0046220B">
        <w:rPr>
          <w:rFonts w:eastAsia="Times New Roman" w:cstheme="minorHAnsi"/>
          <w:color w:val="000000" w:themeColor="text1"/>
          <w:szCs w:val="20"/>
          <w:lang w:eastAsia="de-DE"/>
        </w:rPr>
        <w:t>Wie in Kap</w:t>
      </w:r>
      <w:r w:rsidR="005906D7">
        <w:rPr>
          <w:rFonts w:eastAsia="Times New Roman" w:cstheme="minorHAnsi"/>
          <w:color w:val="000000" w:themeColor="text1"/>
          <w:szCs w:val="20"/>
          <w:lang w:eastAsia="de-DE"/>
        </w:rPr>
        <w:t>itel</w:t>
      </w:r>
      <w:r w:rsidRPr="0046220B">
        <w:rPr>
          <w:rFonts w:eastAsia="Times New Roman" w:cstheme="minorHAnsi"/>
          <w:color w:val="000000" w:themeColor="text1"/>
          <w:szCs w:val="20"/>
          <w:lang w:eastAsia="de-DE"/>
        </w:rPr>
        <w:t xml:space="preserve"> 3.2.1 ausgeführt, verlangt Art. 36 Abs. 3 BV eine sorgfältige Verhältnismä</w:t>
      </w:r>
      <w:r w:rsidR="00786D85" w:rsidRPr="0046220B">
        <w:rPr>
          <w:rFonts w:eastAsia="Times New Roman" w:cstheme="minorHAnsi"/>
          <w:color w:val="000000" w:themeColor="text1"/>
          <w:szCs w:val="20"/>
          <w:lang w:eastAsia="de-DE"/>
        </w:rPr>
        <w:t>ß</w:t>
      </w:r>
      <w:r w:rsidRPr="0046220B">
        <w:rPr>
          <w:rFonts w:eastAsia="Times New Roman" w:cstheme="minorHAnsi"/>
          <w:color w:val="000000" w:themeColor="text1"/>
          <w:szCs w:val="20"/>
          <w:lang w:eastAsia="de-DE"/>
        </w:rPr>
        <w:t xml:space="preserve">igkeitsprüfung bei allen freiheitsbeschränkenden staatlichen </w:t>
      </w:r>
      <w:r w:rsidR="00786D85" w:rsidRPr="0046220B">
        <w:rPr>
          <w:rFonts w:eastAsia="Times New Roman" w:cstheme="minorHAnsi"/>
          <w:color w:val="000000" w:themeColor="text1"/>
          <w:szCs w:val="20"/>
          <w:lang w:eastAsia="de-DE"/>
        </w:rPr>
        <w:t>Maßnahmen</w:t>
      </w:r>
      <w:r w:rsidRPr="0046220B">
        <w:rPr>
          <w:rFonts w:eastAsia="Times New Roman" w:cstheme="minorHAnsi"/>
          <w:color w:val="000000" w:themeColor="text1"/>
          <w:szCs w:val="20"/>
          <w:lang w:eastAsia="de-DE"/>
        </w:rPr>
        <w:t xml:space="preserve">. Jeder Bürgerrechtsentzug muss folglich </w:t>
      </w:r>
      <w:r w:rsidRPr="0046220B">
        <w:rPr>
          <w:rFonts w:eastAsia="Times New Roman" w:cstheme="minorHAnsi"/>
          <w:i/>
          <w:iCs/>
          <w:color w:val="000000" w:themeColor="text1"/>
          <w:szCs w:val="20"/>
          <w:lang w:eastAsia="de-DE"/>
        </w:rPr>
        <w:t>geeignet</w:t>
      </w:r>
      <w:r w:rsidRPr="0046220B">
        <w:rPr>
          <w:rFonts w:eastAsia="Times New Roman" w:cstheme="minorHAnsi"/>
          <w:color w:val="000000" w:themeColor="text1"/>
          <w:szCs w:val="20"/>
          <w:lang w:eastAsia="de-DE"/>
        </w:rPr>
        <w:t xml:space="preserve"> sein, um den avisierten Zweck zu erreichen. Der Entzug des Bürgerrechts muss ferner persönlich, zeitlich und räumlich zur Zielerreichung </w:t>
      </w:r>
      <w:r w:rsidRPr="0046220B">
        <w:rPr>
          <w:rFonts w:eastAsia="Times New Roman" w:cstheme="minorHAnsi"/>
          <w:i/>
          <w:iCs/>
          <w:color w:val="000000" w:themeColor="text1"/>
          <w:szCs w:val="20"/>
          <w:lang w:eastAsia="de-DE"/>
        </w:rPr>
        <w:t xml:space="preserve">erforderlich </w:t>
      </w:r>
      <w:r w:rsidRPr="0046220B">
        <w:rPr>
          <w:rFonts w:eastAsia="Times New Roman" w:cstheme="minorHAnsi"/>
          <w:color w:val="000000" w:themeColor="text1"/>
          <w:szCs w:val="20"/>
          <w:lang w:eastAsia="de-DE"/>
        </w:rPr>
        <w:t xml:space="preserve">sein. Er ist </w:t>
      </w:r>
      <w:r w:rsidR="00786D85" w:rsidRPr="0046220B">
        <w:rPr>
          <w:rFonts w:eastAsia="Times New Roman" w:cstheme="minorHAnsi"/>
          <w:color w:val="000000" w:themeColor="text1"/>
          <w:szCs w:val="20"/>
          <w:lang w:eastAsia="de-DE"/>
        </w:rPr>
        <w:t>schließlich</w:t>
      </w:r>
      <w:r w:rsidRPr="0046220B">
        <w:rPr>
          <w:rFonts w:eastAsia="Times New Roman" w:cstheme="minorHAnsi"/>
          <w:color w:val="000000" w:themeColor="text1"/>
          <w:szCs w:val="20"/>
          <w:lang w:eastAsia="de-DE"/>
        </w:rPr>
        <w:t xml:space="preserve"> nur zumutbar, solange das verfolgte öffentliche Interesse jene</w:t>
      </w:r>
      <w:r w:rsidR="00765C21">
        <w:rPr>
          <w:rFonts w:eastAsia="Times New Roman" w:cstheme="minorHAnsi"/>
          <w:color w:val="000000" w:themeColor="text1"/>
          <w:szCs w:val="20"/>
          <w:lang w:eastAsia="de-DE"/>
        </w:rPr>
        <w:t>s</w:t>
      </w:r>
      <w:r w:rsidRPr="0046220B">
        <w:rPr>
          <w:rFonts w:eastAsia="Times New Roman" w:cstheme="minorHAnsi"/>
          <w:color w:val="000000" w:themeColor="text1"/>
          <w:szCs w:val="20"/>
          <w:lang w:eastAsia="de-DE"/>
        </w:rPr>
        <w:t xml:space="preserve"> des betroffenen Individuums überwiegt. In der juristischen Lehre und Wissenschaft wird die </w:t>
      </w:r>
      <w:r w:rsidR="00786D85" w:rsidRPr="0046220B">
        <w:rPr>
          <w:rFonts w:eastAsia="Times New Roman" w:cstheme="minorHAnsi"/>
          <w:color w:val="000000" w:themeColor="text1"/>
          <w:szCs w:val="20"/>
          <w:lang w:eastAsia="de-DE"/>
        </w:rPr>
        <w:t>Verhältnismäßigkeit</w:t>
      </w:r>
      <w:r w:rsidRPr="0046220B">
        <w:rPr>
          <w:rFonts w:eastAsia="Times New Roman" w:cstheme="minorHAnsi"/>
          <w:color w:val="000000" w:themeColor="text1"/>
          <w:szCs w:val="20"/>
          <w:lang w:eastAsia="de-DE"/>
        </w:rPr>
        <w:t xml:space="preserve"> von Bürgerrechtsentzügen allgemein kritisch betrachtet. In den ersten Urteilen zu Art. 42 BüG hoben die Schweizer Gerichte zwar korrekt hervor, dass der Entzug des Bürgerrechts stets auch im Lichte von Art. 8 EMRK zu prüfen sei. In casu schlussfolgerten sie jedoch, dass das öffentliche Interesse am Schutz der Gesellschaft den Interessen des Beschwerdeführers, sein Bürgerrecht zu behalten, entgegenstehe (vgl. BVGer F-5427/2019 vom 31. Mai 2021 E. 17 ff.).</w:t>
      </w:r>
      <w:r w:rsidRPr="0046220B">
        <w:rPr>
          <w:rStyle w:val="Funotenzeichen"/>
          <w:rFonts w:eastAsia="Times New Roman" w:cstheme="minorHAnsi"/>
          <w:color w:val="000000" w:themeColor="text1"/>
          <w:szCs w:val="20"/>
          <w:lang w:eastAsia="de-DE"/>
        </w:rPr>
        <w:footnoteReference w:id="19"/>
      </w:r>
      <w:r w:rsidRPr="0046220B">
        <w:rPr>
          <w:rFonts w:eastAsia="Times New Roman" w:cstheme="minorHAnsi"/>
          <w:color w:val="000000" w:themeColor="text1"/>
          <w:szCs w:val="20"/>
          <w:lang w:eastAsia="de-DE"/>
        </w:rPr>
        <w:t xml:space="preserve"> Folglich bejahten die Gerichte die Geeignetheit der </w:t>
      </w:r>
      <w:r w:rsidR="00786D85" w:rsidRPr="0046220B">
        <w:rPr>
          <w:rFonts w:eastAsia="Times New Roman" w:cstheme="minorHAnsi"/>
          <w:color w:val="000000" w:themeColor="text1"/>
          <w:szCs w:val="20"/>
          <w:lang w:eastAsia="de-DE"/>
        </w:rPr>
        <w:t>Maßnahme</w:t>
      </w:r>
      <w:r w:rsidRPr="0046220B">
        <w:rPr>
          <w:rFonts w:eastAsia="Times New Roman" w:cstheme="minorHAnsi"/>
          <w:color w:val="000000" w:themeColor="text1"/>
          <w:szCs w:val="20"/>
          <w:lang w:eastAsia="de-DE"/>
        </w:rPr>
        <w:t xml:space="preserve">. Sie unterstrichen, dass eine Ausbürgerung auch der Abschreckung diene (vgl. BVGer F-5427/2019 vom </w:t>
      </w:r>
      <w:r w:rsidR="007E72B0">
        <w:rPr>
          <w:rFonts w:eastAsia="Times New Roman" w:cstheme="minorHAnsi"/>
          <w:color w:val="000000" w:themeColor="text1"/>
          <w:szCs w:val="20"/>
          <w:lang w:eastAsia="de-DE"/>
        </w:rPr>
        <w:br/>
      </w:r>
      <w:r w:rsidRPr="0046220B">
        <w:rPr>
          <w:rFonts w:eastAsia="Times New Roman" w:cstheme="minorHAnsi"/>
          <w:color w:val="000000" w:themeColor="text1"/>
          <w:szCs w:val="20"/>
          <w:lang w:eastAsia="de-DE"/>
        </w:rPr>
        <w:t xml:space="preserve">31. Mai 2021 E. 17.2). Ferner seien keine milderen Mittel ersichtlich, um das avisierte Ziel zu erreichen. Die Staatsangehörigkeit könne </w:t>
      </w:r>
      <w:r w:rsidR="00786D85" w:rsidRPr="0046220B">
        <w:rPr>
          <w:rFonts w:eastAsia="Times New Roman" w:cstheme="minorHAnsi"/>
          <w:color w:val="000000" w:themeColor="text1"/>
          <w:szCs w:val="20"/>
          <w:lang w:eastAsia="de-DE"/>
        </w:rPr>
        <w:t>schließlich</w:t>
      </w:r>
      <w:r w:rsidRPr="0046220B">
        <w:rPr>
          <w:rFonts w:eastAsia="Times New Roman" w:cstheme="minorHAnsi"/>
          <w:color w:val="000000" w:themeColor="text1"/>
          <w:szCs w:val="20"/>
          <w:lang w:eastAsia="de-DE"/>
        </w:rPr>
        <w:t xml:space="preserve"> nur vollständig oder gar nicht entzogen werden (vgl. BVGer </w:t>
      </w:r>
      <w:r w:rsidRPr="0046220B">
        <w:rPr>
          <w:rFonts w:eastAsia="Times New Roman" w:cstheme="minorHAnsi"/>
          <w:color w:val="000000" w:themeColor="text1"/>
          <w:szCs w:val="20"/>
          <w:lang w:eastAsia="de-DE"/>
        </w:rPr>
        <w:lastRenderedPageBreak/>
        <w:t xml:space="preserve">F-5427/2019 vom 31. Mai 2021 E. 17.2). Deshalb sei die </w:t>
      </w:r>
      <w:r w:rsidR="00786D85" w:rsidRPr="0046220B">
        <w:rPr>
          <w:rFonts w:eastAsia="Times New Roman" w:cstheme="minorHAnsi"/>
          <w:color w:val="000000" w:themeColor="text1"/>
          <w:szCs w:val="20"/>
          <w:lang w:eastAsia="de-DE"/>
        </w:rPr>
        <w:t>Maßnahme</w:t>
      </w:r>
      <w:r w:rsidRPr="0046220B">
        <w:rPr>
          <w:rFonts w:eastAsia="Times New Roman" w:cstheme="minorHAnsi"/>
          <w:color w:val="000000" w:themeColor="text1"/>
          <w:szCs w:val="20"/>
          <w:lang w:eastAsia="de-DE"/>
        </w:rPr>
        <w:t xml:space="preserve"> </w:t>
      </w:r>
      <w:r w:rsidR="00786D85" w:rsidRPr="0046220B">
        <w:rPr>
          <w:rFonts w:eastAsia="Times New Roman" w:cstheme="minorHAnsi"/>
          <w:color w:val="000000" w:themeColor="text1"/>
          <w:szCs w:val="20"/>
          <w:lang w:eastAsia="de-DE"/>
        </w:rPr>
        <w:t>verhältnismäßig</w:t>
      </w:r>
      <w:r w:rsidRPr="0046220B">
        <w:rPr>
          <w:rFonts w:eastAsia="Times New Roman" w:cstheme="minorHAnsi"/>
          <w:color w:val="000000" w:themeColor="text1"/>
          <w:szCs w:val="20"/>
          <w:lang w:eastAsia="de-DE"/>
        </w:rPr>
        <w:t xml:space="preserve"> und keine Verletzung von Art. 8 EMRK (vgl. BGer 1C_457/2021 vom 25. März 2022 E. 7). </w:t>
      </w:r>
    </w:p>
    <w:p w14:paraId="561B037F" w14:textId="51C74F92" w:rsidR="003C268C" w:rsidRPr="0046220B" w:rsidRDefault="003C268C" w:rsidP="003C268C">
      <w:pPr>
        <w:spacing w:before="120" w:line="276" w:lineRule="auto"/>
        <w:jc w:val="both"/>
        <w:rPr>
          <w:rFonts w:eastAsia="Times New Roman" w:cstheme="minorHAnsi"/>
          <w:color w:val="000000" w:themeColor="text1"/>
          <w:szCs w:val="20"/>
          <w:lang w:eastAsia="de-DE"/>
        </w:rPr>
      </w:pPr>
      <w:r w:rsidRPr="0046220B">
        <w:rPr>
          <w:rFonts w:eastAsia="Times New Roman" w:cstheme="minorHAnsi"/>
          <w:color w:val="000000" w:themeColor="text1"/>
          <w:szCs w:val="20"/>
          <w:lang w:eastAsia="de-DE"/>
        </w:rPr>
        <w:t xml:space="preserve">Aus juristischer Perspektive erstaunt die Argumentation des Bundesgerichts. Dieses stellte in seinen Ausführungen zur Geeignetheit fest, dass der Zweck des Bürgerrechtsentzugs in erster Linie nicht der Prävention oder der Verhinderung künftiger Straftaten diene. Vielmehr seien der Schutz der Schweizer Neutralität sowie der Souveränität geschützte Rechtsgüter. In </w:t>
      </w:r>
      <w:r w:rsidR="00370499">
        <w:rPr>
          <w:rFonts w:eastAsia="Times New Roman" w:cstheme="minorHAnsi"/>
          <w:color w:val="000000" w:themeColor="text1"/>
          <w:szCs w:val="20"/>
          <w:lang w:eastAsia="de-DE"/>
        </w:rPr>
        <w:t xml:space="preserve">der </w:t>
      </w:r>
      <w:r w:rsidRPr="0046220B">
        <w:rPr>
          <w:rFonts w:eastAsia="Times New Roman" w:cstheme="minorHAnsi"/>
          <w:color w:val="000000" w:themeColor="text1"/>
          <w:szCs w:val="20"/>
          <w:lang w:eastAsia="de-DE"/>
        </w:rPr>
        <w:t xml:space="preserve">Lehre und </w:t>
      </w:r>
      <w:r w:rsidR="00370499">
        <w:rPr>
          <w:rFonts w:eastAsia="Times New Roman" w:cstheme="minorHAnsi"/>
          <w:color w:val="000000" w:themeColor="text1"/>
          <w:szCs w:val="20"/>
          <w:lang w:eastAsia="de-DE"/>
        </w:rPr>
        <w:t>Rechtsprechung</w:t>
      </w:r>
      <w:r w:rsidRPr="0046220B">
        <w:rPr>
          <w:rFonts w:eastAsia="Times New Roman" w:cstheme="minorHAnsi"/>
          <w:color w:val="000000" w:themeColor="text1"/>
          <w:szCs w:val="20"/>
          <w:lang w:eastAsia="de-DE"/>
        </w:rPr>
        <w:t xml:space="preserve"> ist jedoch unbestritten, dass der Entzug des Bürgerrechts die innere Sicherheit der Schweiz schützen soll (</w:t>
      </w:r>
      <w:r w:rsidRPr="0046220B">
        <w:rPr>
          <w:rFonts w:cstheme="minorHAnsi"/>
          <w:color w:val="000000" w:themeColor="text1"/>
        </w:rPr>
        <w:t xml:space="preserve">vgl. von Rütte 2023: 15, 27; BVGer F-5427/2019 vom 31. Mai 2021 E. 16; </w:t>
      </w:r>
      <w:r w:rsidRPr="0046220B">
        <w:rPr>
          <w:rFonts w:eastAsia="Times New Roman" w:cstheme="minorHAnsi"/>
          <w:color w:val="000000" w:themeColor="text1"/>
          <w:szCs w:val="20"/>
          <w:lang w:eastAsia="de-DE"/>
        </w:rPr>
        <w:t>SEM 2022: 10</w:t>
      </w:r>
      <w:r w:rsidRPr="0046220B">
        <w:rPr>
          <w:rFonts w:cstheme="minorHAnsi"/>
          <w:color w:val="000000" w:themeColor="text1"/>
        </w:rPr>
        <w:t>).</w:t>
      </w:r>
      <w:r w:rsidRPr="0046220B">
        <w:rPr>
          <w:rFonts w:eastAsia="Times New Roman" w:cstheme="minorHAnsi"/>
          <w:color w:val="000000" w:themeColor="text1"/>
          <w:szCs w:val="20"/>
          <w:lang w:eastAsia="de-DE"/>
        </w:rPr>
        <w:t xml:space="preserve"> Der seitens </w:t>
      </w:r>
      <w:r w:rsidR="00896F9D">
        <w:rPr>
          <w:rFonts w:eastAsia="Times New Roman" w:cstheme="minorHAnsi"/>
          <w:color w:val="000000" w:themeColor="text1"/>
          <w:szCs w:val="20"/>
          <w:lang w:eastAsia="de-DE"/>
        </w:rPr>
        <w:t xml:space="preserve">des </w:t>
      </w:r>
      <w:r w:rsidRPr="0046220B">
        <w:rPr>
          <w:rFonts w:eastAsia="Times New Roman" w:cstheme="minorHAnsi"/>
          <w:color w:val="000000" w:themeColor="text1"/>
          <w:szCs w:val="20"/>
          <w:lang w:eastAsia="de-DE"/>
        </w:rPr>
        <w:t>Bundesgericht</w:t>
      </w:r>
      <w:r w:rsidR="00896F9D">
        <w:rPr>
          <w:rFonts w:eastAsia="Times New Roman" w:cstheme="minorHAnsi"/>
          <w:color w:val="000000" w:themeColor="text1"/>
          <w:szCs w:val="20"/>
          <w:lang w:eastAsia="de-DE"/>
        </w:rPr>
        <w:t>s</w:t>
      </w:r>
      <w:r w:rsidRPr="0046220B">
        <w:rPr>
          <w:rFonts w:eastAsia="Times New Roman" w:cstheme="minorHAnsi"/>
          <w:color w:val="000000" w:themeColor="text1"/>
          <w:szCs w:val="20"/>
          <w:lang w:eastAsia="de-DE"/>
        </w:rPr>
        <w:t xml:space="preserve"> überraschend vorgebrachte Schutz der Neutralität und der Souveränität als Ziel </w:t>
      </w:r>
      <w:r w:rsidR="00370499">
        <w:rPr>
          <w:rFonts w:eastAsia="Times New Roman" w:cstheme="minorHAnsi"/>
          <w:color w:val="000000" w:themeColor="text1"/>
          <w:szCs w:val="20"/>
          <w:lang w:eastAsia="de-DE"/>
        </w:rPr>
        <w:t>ist</w:t>
      </w:r>
      <w:r w:rsidR="00370499" w:rsidRPr="0046220B">
        <w:rPr>
          <w:rFonts w:eastAsia="Times New Roman" w:cstheme="minorHAnsi"/>
          <w:color w:val="000000" w:themeColor="text1"/>
          <w:szCs w:val="20"/>
          <w:lang w:eastAsia="de-DE"/>
        </w:rPr>
        <w:t xml:space="preserve"> </w:t>
      </w:r>
      <w:r w:rsidRPr="0046220B">
        <w:rPr>
          <w:rFonts w:eastAsia="Times New Roman" w:cstheme="minorHAnsi"/>
          <w:color w:val="000000" w:themeColor="text1"/>
          <w:szCs w:val="20"/>
          <w:lang w:eastAsia="de-DE"/>
        </w:rPr>
        <w:t xml:space="preserve">in Bezug auf die Ausbürgerung extremistischer und/oder radikalisierter </w:t>
      </w:r>
      <w:proofErr w:type="gramStart"/>
      <w:r w:rsidRPr="0046220B">
        <w:rPr>
          <w:rFonts w:eastAsia="Times New Roman" w:cstheme="minorHAnsi"/>
          <w:color w:val="000000" w:themeColor="text1"/>
          <w:szCs w:val="20"/>
          <w:lang w:eastAsia="de-DE"/>
        </w:rPr>
        <w:t>Straftäter:innen</w:t>
      </w:r>
      <w:proofErr w:type="gramEnd"/>
      <w:r w:rsidRPr="0046220B">
        <w:rPr>
          <w:rFonts w:eastAsia="Times New Roman" w:cstheme="minorHAnsi"/>
          <w:color w:val="000000" w:themeColor="text1"/>
          <w:szCs w:val="20"/>
          <w:lang w:eastAsia="de-DE"/>
        </w:rPr>
        <w:t xml:space="preserve"> dogmatisch wenig nachvollziehbar. </w:t>
      </w:r>
    </w:p>
    <w:p w14:paraId="6562136C" w14:textId="67533638" w:rsidR="003C268C" w:rsidRPr="0046220B" w:rsidRDefault="003C268C" w:rsidP="003C268C">
      <w:pPr>
        <w:spacing w:before="120" w:line="276" w:lineRule="auto"/>
        <w:jc w:val="both"/>
        <w:rPr>
          <w:rFonts w:eastAsia="Times New Roman" w:cstheme="minorHAnsi"/>
          <w:color w:val="000000" w:themeColor="text1"/>
          <w:szCs w:val="20"/>
          <w:lang w:eastAsia="de-DE"/>
        </w:rPr>
      </w:pPr>
      <w:r w:rsidRPr="0046220B">
        <w:rPr>
          <w:rFonts w:eastAsia="Times New Roman" w:cstheme="minorHAnsi"/>
          <w:color w:val="000000" w:themeColor="text1"/>
          <w:szCs w:val="20"/>
          <w:lang w:eastAsia="de-DE"/>
        </w:rPr>
        <w:t xml:space="preserve">Die Geeignetheit des Bürgerrechtsentzugs als </w:t>
      </w:r>
      <w:r w:rsidR="00786D85" w:rsidRPr="0046220B">
        <w:rPr>
          <w:rFonts w:eastAsia="Times New Roman" w:cstheme="minorHAnsi"/>
          <w:color w:val="000000" w:themeColor="text1"/>
          <w:szCs w:val="20"/>
          <w:lang w:eastAsia="de-DE"/>
        </w:rPr>
        <w:t>Maßnahme</w:t>
      </w:r>
      <w:r w:rsidRPr="0046220B">
        <w:rPr>
          <w:rFonts w:eastAsia="Times New Roman" w:cstheme="minorHAnsi"/>
          <w:color w:val="000000" w:themeColor="text1"/>
          <w:szCs w:val="20"/>
          <w:lang w:eastAsia="de-DE"/>
        </w:rPr>
        <w:t xml:space="preserve"> zur Stärkung der inneren Sicherheit wird in diesem Beitrag an späterer Stelle eingehend diskutiert (siehe Kap. 4.4 und 4.5). In Lehre und Wissenschaft wird aber zu Recht bezweifelt, dass der Entzug des Bürgerrechts Gefahren bannt und die Schweiz vor allfälligen terroristischen Anschlägen und Straftaten schützt. Andere Instrumente – etwa die Überwachung, konsequente Strafverfolgung oder Präventionsma</w:t>
      </w:r>
      <w:r w:rsidR="00786D85" w:rsidRPr="0046220B">
        <w:rPr>
          <w:rFonts w:eastAsia="Times New Roman" w:cstheme="minorHAnsi"/>
          <w:color w:val="000000" w:themeColor="text1"/>
          <w:szCs w:val="20"/>
          <w:lang w:eastAsia="de-DE"/>
        </w:rPr>
        <w:t>ß</w:t>
      </w:r>
      <w:r w:rsidRPr="0046220B">
        <w:rPr>
          <w:rFonts w:eastAsia="Times New Roman" w:cstheme="minorHAnsi"/>
          <w:color w:val="000000" w:themeColor="text1"/>
          <w:szCs w:val="20"/>
          <w:lang w:eastAsia="de-DE"/>
        </w:rPr>
        <w:t xml:space="preserve">nahmen – scheinen geeigneter, um die innere Sicherheit zu </w:t>
      </w:r>
      <w:r w:rsidR="00AE410C">
        <w:rPr>
          <w:rFonts w:eastAsia="Times New Roman" w:cstheme="minorHAnsi"/>
          <w:color w:val="000000" w:themeColor="text1"/>
          <w:szCs w:val="20"/>
          <w:lang w:eastAsia="de-DE"/>
        </w:rPr>
        <w:t>wahren</w:t>
      </w:r>
      <w:r w:rsidR="00AE410C" w:rsidRPr="0046220B">
        <w:rPr>
          <w:rFonts w:eastAsia="Times New Roman" w:cstheme="minorHAnsi"/>
          <w:color w:val="000000" w:themeColor="text1"/>
          <w:szCs w:val="20"/>
          <w:lang w:eastAsia="de-DE"/>
        </w:rPr>
        <w:t xml:space="preserve"> </w:t>
      </w:r>
      <w:r w:rsidRPr="0046220B">
        <w:rPr>
          <w:rFonts w:eastAsia="Times New Roman" w:cstheme="minorHAnsi"/>
          <w:color w:val="000000" w:themeColor="text1"/>
          <w:szCs w:val="20"/>
          <w:lang w:eastAsia="de-DE"/>
        </w:rPr>
        <w:t xml:space="preserve">als der Ausschluss von </w:t>
      </w:r>
      <w:proofErr w:type="gramStart"/>
      <w:r w:rsidRPr="0046220B">
        <w:rPr>
          <w:rFonts w:eastAsia="Times New Roman" w:cstheme="minorHAnsi"/>
          <w:color w:val="000000" w:themeColor="text1"/>
          <w:szCs w:val="20"/>
          <w:lang w:eastAsia="de-DE"/>
        </w:rPr>
        <w:t>Straftäter:innen</w:t>
      </w:r>
      <w:proofErr w:type="gramEnd"/>
      <w:r w:rsidRPr="0046220B">
        <w:rPr>
          <w:rFonts w:eastAsia="Times New Roman" w:cstheme="minorHAnsi"/>
          <w:color w:val="000000" w:themeColor="text1"/>
          <w:szCs w:val="20"/>
          <w:lang w:eastAsia="de-DE"/>
        </w:rPr>
        <w:t xml:space="preserve"> aus der Staatsgemeinschaft und die Wegweisung ins Ausland (vgl. Bolhuis, van Wijk 2020: 363 ff.; von Rütte, Kurt 2016).</w:t>
      </w:r>
      <w:r w:rsidRPr="0046220B">
        <w:rPr>
          <w:rStyle w:val="Funotenzeichen"/>
          <w:rFonts w:eastAsia="Times New Roman" w:cstheme="minorHAnsi"/>
          <w:color w:val="000000" w:themeColor="text1"/>
          <w:szCs w:val="20"/>
          <w:lang w:eastAsia="de-DE"/>
        </w:rPr>
        <w:footnoteReference w:id="20"/>
      </w:r>
      <w:r w:rsidRPr="0046220B">
        <w:rPr>
          <w:rFonts w:eastAsia="Times New Roman" w:cstheme="minorHAnsi"/>
          <w:color w:val="000000" w:themeColor="text1"/>
          <w:szCs w:val="20"/>
          <w:lang w:eastAsia="de-DE"/>
        </w:rPr>
        <w:t xml:space="preserve"> </w:t>
      </w:r>
    </w:p>
    <w:p w14:paraId="7E9012D6" w14:textId="71195C12" w:rsidR="003C268C" w:rsidRPr="0046220B" w:rsidRDefault="003C268C" w:rsidP="003C268C">
      <w:pPr>
        <w:spacing w:before="120" w:line="276" w:lineRule="auto"/>
        <w:jc w:val="both"/>
        <w:rPr>
          <w:rFonts w:eastAsia="Times New Roman" w:cstheme="minorHAnsi"/>
          <w:color w:val="000000" w:themeColor="text1"/>
          <w:szCs w:val="20"/>
          <w:lang w:eastAsia="de-DE"/>
        </w:rPr>
      </w:pPr>
      <w:r w:rsidRPr="0046220B">
        <w:rPr>
          <w:rFonts w:eastAsia="Times New Roman" w:cstheme="minorHAnsi"/>
          <w:color w:val="000000" w:themeColor="text1"/>
          <w:szCs w:val="20"/>
          <w:lang w:eastAsia="de-DE"/>
        </w:rPr>
        <w:t xml:space="preserve">Bereits an dieser Stelle sei auf einen rechtlich und sicherheitspolitisch brisanten Zirkelschluss hingewiesen. Eine Ausbürgerung ohne eine konsequente Wegweisung der betroffenen Person aus der Schweiz ist aus Sicht der inneren Sicherheit kaum wünschbar (siehe Kap. 4.5.5). Wozu dient der Bürgerrechtsentzug eines schweizerisch-russischen Straftäters, wenn dieser nach einer erfolgten Ausbürgerung weiterhin – nun als </w:t>
      </w:r>
      <w:r w:rsidR="00786D85" w:rsidRPr="0046220B">
        <w:rPr>
          <w:rFonts w:eastAsia="Times New Roman" w:cstheme="minorHAnsi"/>
          <w:color w:val="000000" w:themeColor="text1"/>
          <w:szCs w:val="20"/>
          <w:lang w:eastAsia="de-DE"/>
        </w:rPr>
        <w:t>ausschließlich</w:t>
      </w:r>
      <w:r w:rsidRPr="0046220B">
        <w:rPr>
          <w:rFonts w:eastAsia="Times New Roman" w:cstheme="minorHAnsi"/>
          <w:color w:val="000000" w:themeColor="text1"/>
          <w:szCs w:val="20"/>
          <w:lang w:eastAsia="de-DE"/>
        </w:rPr>
        <w:t xml:space="preserve"> russischer Bürger – in der Schweiz weilt, da eine Wegweisung in den Nordkaukasus unzulässig ist? Abgesehen von einer möglichen pönalen oder abschreckenden Wirkung kann der Bürgerrechtsentzug bei einem gleichzeitigen Verbleib in der Schweiz doch kaum ein geeignetes Mittel zur effektiven Terrorismusbekämpfung sein (Bolhuis, van Wijk 2020: 356 f). Unbesehen davon hat der Bürgerrechtsentzug ohne Wegweisungsmöglichkeit poten</w:t>
      </w:r>
      <w:r w:rsidR="004E2CD0">
        <w:rPr>
          <w:rFonts w:eastAsia="Times New Roman" w:cstheme="minorHAnsi"/>
          <w:color w:val="000000" w:themeColor="text1"/>
          <w:szCs w:val="20"/>
          <w:lang w:eastAsia="de-DE"/>
        </w:rPr>
        <w:t>z</w:t>
      </w:r>
      <w:r w:rsidRPr="0046220B">
        <w:rPr>
          <w:rFonts w:eastAsia="Times New Roman" w:cstheme="minorHAnsi"/>
          <w:color w:val="000000" w:themeColor="text1"/>
          <w:szCs w:val="20"/>
          <w:lang w:eastAsia="de-DE"/>
        </w:rPr>
        <w:t xml:space="preserve">iell folgenschwere Konsequenzen für die Sicherheit der Schweiz: Ohne Schweizer Staatsangehörigkeit muss der Aufenthalt der betroffenen Person neu geregelt werden. In einer Vielzahl an Fallkonstellationen – man denke an </w:t>
      </w:r>
      <w:proofErr w:type="gramStart"/>
      <w:r w:rsidRPr="0046220B">
        <w:rPr>
          <w:rFonts w:eastAsia="Times New Roman" w:cstheme="minorHAnsi"/>
          <w:color w:val="000000" w:themeColor="text1"/>
          <w:szCs w:val="20"/>
          <w:lang w:eastAsia="de-DE"/>
        </w:rPr>
        <w:t>Straftäter:innen</w:t>
      </w:r>
      <w:proofErr w:type="gramEnd"/>
      <w:r w:rsidRPr="0046220B">
        <w:rPr>
          <w:rFonts w:eastAsia="Times New Roman" w:cstheme="minorHAnsi"/>
          <w:color w:val="000000" w:themeColor="text1"/>
          <w:szCs w:val="20"/>
          <w:lang w:eastAsia="de-DE"/>
        </w:rPr>
        <w:t xml:space="preserve"> aus Tschetschenien, Afghanistan, Syrien oder Libyen – scheitert eine konsequente Wegweisung in einen Kriegs- oder Verfolgerstaat selbst für gesunde, junge Erwachsene am Refoulement-Verbot.</w:t>
      </w:r>
      <w:r w:rsidRPr="0046220B">
        <w:rPr>
          <w:rStyle w:val="Funotenzeichen"/>
          <w:rFonts w:eastAsia="Times New Roman" w:cstheme="minorHAnsi"/>
          <w:color w:val="000000" w:themeColor="text1"/>
          <w:szCs w:val="20"/>
          <w:lang w:eastAsia="de-DE"/>
        </w:rPr>
        <w:footnoteReference w:id="21"/>
      </w:r>
      <w:r w:rsidRPr="0046220B">
        <w:rPr>
          <w:rFonts w:eastAsia="Times New Roman" w:cstheme="minorHAnsi"/>
          <w:color w:val="000000" w:themeColor="text1"/>
          <w:szCs w:val="20"/>
          <w:lang w:eastAsia="de-DE"/>
        </w:rPr>
        <w:t xml:space="preserve"> So sind im Phänomenbereich Extremismus/Radikalisierung Konstellationen Realität, in denen junge oder gar minderjährige </w:t>
      </w:r>
      <w:proofErr w:type="gramStart"/>
      <w:r w:rsidRPr="0046220B">
        <w:rPr>
          <w:rFonts w:eastAsia="Times New Roman" w:cstheme="minorHAnsi"/>
          <w:color w:val="000000" w:themeColor="text1"/>
          <w:szCs w:val="20"/>
          <w:lang w:eastAsia="de-DE"/>
        </w:rPr>
        <w:t>Straftäter:innen</w:t>
      </w:r>
      <w:proofErr w:type="gramEnd"/>
      <w:r w:rsidRPr="0046220B">
        <w:rPr>
          <w:rFonts w:eastAsia="Times New Roman" w:cstheme="minorHAnsi"/>
          <w:color w:val="000000" w:themeColor="text1"/>
          <w:szCs w:val="20"/>
          <w:lang w:eastAsia="de-DE"/>
        </w:rPr>
        <w:t xml:space="preserve"> seit Geburt in der Schweiz leben. Ihre Wegweisung in die Türkei, nach Algerien oder in die Autonome Republik Kurdistan im Nordirak </w:t>
      </w:r>
      <w:r w:rsidR="00C51A3E">
        <w:rPr>
          <w:rFonts w:eastAsia="Times New Roman" w:cstheme="minorHAnsi"/>
          <w:color w:val="000000" w:themeColor="text1"/>
          <w:szCs w:val="20"/>
          <w:lang w:eastAsia="de-DE"/>
        </w:rPr>
        <w:t>ist</w:t>
      </w:r>
      <w:r w:rsidR="00C51A3E" w:rsidRPr="0046220B">
        <w:rPr>
          <w:rFonts w:eastAsia="Times New Roman" w:cstheme="minorHAnsi"/>
          <w:color w:val="000000" w:themeColor="text1"/>
          <w:szCs w:val="20"/>
          <w:lang w:eastAsia="de-DE"/>
        </w:rPr>
        <w:t xml:space="preserve"> </w:t>
      </w:r>
      <w:r w:rsidRPr="0046220B">
        <w:rPr>
          <w:rFonts w:eastAsia="Times New Roman" w:cstheme="minorHAnsi"/>
          <w:color w:val="000000" w:themeColor="text1"/>
          <w:szCs w:val="20"/>
          <w:lang w:eastAsia="de-DE"/>
        </w:rPr>
        <w:t xml:space="preserve">mit Wegweisungshindernissen verknüpft. Kurzum: Die bisherige Herangehensweise der Schweizer Gerichte, als Hauptkriterien für eine legitime Ausbürgerung allein auf die Schwere der Tat sowie auf die Interessen der Schweiz abzustellen, greift </w:t>
      </w:r>
      <w:r w:rsidRPr="0046220B">
        <w:rPr>
          <w:rFonts w:eastAsia="Times New Roman" w:cstheme="minorHAnsi"/>
          <w:color w:val="000000" w:themeColor="text1"/>
          <w:szCs w:val="20"/>
          <w:lang w:eastAsia="de-DE"/>
        </w:rPr>
        <w:lastRenderedPageBreak/>
        <w:t>zu kurz. Diese Methodik dürfte einer Verhältnismä</w:t>
      </w:r>
      <w:r w:rsidR="00786D85" w:rsidRPr="0046220B">
        <w:rPr>
          <w:rFonts w:eastAsia="Times New Roman" w:cstheme="minorHAnsi"/>
          <w:color w:val="000000" w:themeColor="text1"/>
          <w:szCs w:val="20"/>
          <w:lang w:eastAsia="de-DE"/>
        </w:rPr>
        <w:t>ß</w:t>
      </w:r>
      <w:r w:rsidRPr="0046220B">
        <w:rPr>
          <w:rFonts w:eastAsia="Times New Roman" w:cstheme="minorHAnsi"/>
          <w:color w:val="000000" w:themeColor="text1"/>
          <w:szCs w:val="20"/>
          <w:lang w:eastAsia="de-DE"/>
        </w:rPr>
        <w:t>igkeitsprüfung durch den EGMR oder anderer UN-Vertragsorgane kaum standhalten (</w:t>
      </w:r>
      <w:r w:rsidRPr="0046220B">
        <w:rPr>
          <w:rFonts w:cstheme="minorHAnsi"/>
          <w:color w:val="000000" w:themeColor="text1"/>
        </w:rPr>
        <w:t>vgl. von Rütte 2023: 27, 32 ff.; Hanimann in: Republik 2019; Bolhuis, van Wijk 2020: 354 f.).</w:t>
      </w:r>
    </w:p>
    <w:p w14:paraId="782F9E90" w14:textId="158140FC" w:rsidR="003C268C" w:rsidRPr="0046220B" w:rsidRDefault="009F5912" w:rsidP="009F5912">
      <w:pPr>
        <w:pStyle w:val="3Ebene"/>
      </w:pPr>
      <w:bookmarkStart w:id="29" w:name="_Toc188272769"/>
      <w:bookmarkStart w:id="30" w:name="_Toc195609704"/>
      <w:r>
        <w:t xml:space="preserve">3.3.4 </w:t>
      </w:r>
      <w:r w:rsidR="003C268C" w:rsidRPr="0046220B">
        <w:t>Ermessensspielraum und unbestimmte Rechtsbegriffe</w:t>
      </w:r>
      <w:bookmarkEnd w:id="29"/>
      <w:bookmarkEnd w:id="30"/>
    </w:p>
    <w:p w14:paraId="55E3000F" w14:textId="6CD0BFC5" w:rsidR="003C268C" w:rsidRPr="0046220B" w:rsidRDefault="003C268C" w:rsidP="003C268C">
      <w:pPr>
        <w:spacing w:before="120" w:line="276" w:lineRule="auto"/>
        <w:jc w:val="both"/>
        <w:rPr>
          <w:rFonts w:eastAsia="Times New Roman" w:cstheme="minorHAnsi"/>
          <w:color w:val="000000" w:themeColor="text1"/>
          <w:szCs w:val="20"/>
          <w:lang w:eastAsia="de-DE"/>
        </w:rPr>
      </w:pPr>
      <w:r w:rsidRPr="0046220B">
        <w:rPr>
          <w:rFonts w:eastAsia="Times New Roman" w:cstheme="minorHAnsi"/>
          <w:color w:val="000000" w:themeColor="text1"/>
          <w:szCs w:val="20"/>
          <w:lang w:eastAsia="de-DE"/>
        </w:rPr>
        <w:t>Aus rechtsdogmatischer Perspektive ist zu kritisieren, dass der Wortlaut von Art. 48 BüG und dessen Tatbestandsvoraussetzungen für eine Ausbürgerung zu vage und nicht ausreichend bestimmt ist wie es Art. 36 Abs. 1 BV verlangt. Diese gesetzliche Unschärfe könnte sich als problematisch erweisen, da bislang keine (einheitliche) Rechtsprechung und -praxis existier</w:t>
      </w:r>
      <w:r w:rsidR="00845C67">
        <w:rPr>
          <w:rFonts w:eastAsia="Times New Roman" w:cstheme="minorHAnsi"/>
          <w:color w:val="000000" w:themeColor="text1"/>
          <w:szCs w:val="20"/>
          <w:lang w:eastAsia="de-DE"/>
        </w:rPr>
        <w:t>en</w:t>
      </w:r>
      <w:r w:rsidRPr="0046220B">
        <w:rPr>
          <w:rFonts w:eastAsia="Times New Roman" w:cstheme="minorHAnsi"/>
          <w:color w:val="000000" w:themeColor="text1"/>
          <w:szCs w:val="20"/>
          <w:lang w:eastAsia="de-DE"/>
        </w:rPr>
        <w:t xml:space="preserve">, die den rechtsanwendenden Behörden Leitlinien aufzeigen. In der Konsequenz läuft damit jedes künftige Ausbürgerungsverfahren des </w:t>
      </w:r>
      <w:proofErr w:type="gramStart"/>
      <w:r w:rsidRPr="0046220B">
        <w:rPr>
          <w:rFonts w:eastAsia="Times New Roman" w:cstheme="minorHAnsi"/>
          <w:color w:val="000000" w:themeColor="text1"/>
          <w:szCs w:val="20"/>
          <w:lang w:eastAsia="de-DE"/>
        </w:rPr>
        <w:t xml:space="preserve">SEM </w:t>
      </w:r>
      <w:r w:rsidR="00B40C37">
        <w:rPr>
          <w:rFonts w:eastAsia="Times New Roman" w:cstheme="minorHAnsi"/>
          <w:color w:val="000000" w:themeColor="text1"/>
          <w:szCs w:val="20"/>
          <w:lang w:eastAsia="de-DE"/>
        </w:rPr>
        <w:t>Gefahr</w:t>
      </w:r>
      <w:proofErr w:type="gramEnd"/>
      <w:r w:rsidRPr="0046220B">
        <w:rPr>
          <w:rFonts w:eastAsia="Times New Roman" w:cstheme="minorHAnsi"/>
          <w:color w:val="000000" w:themeColor="text1"/>
          <w:szCs w:val="20"/>
          <w:lang w:eastAsia="de-DE"/>
        </w:rPr>
        <w:t>, auf wenig gesicherter Grundlage zu ergehen. Ausbürgerungen sind ultima ratio-Ma</w:t>
      </w:r>
      <w:r w:rsidR="00786D85" w:rsidRPr="0046220B">
        <w:rPr>
          <w:rFonts w:eastAsia="Times New Roman" w:cstheme="minorHAnsi"/>
          <w:color w:val="000000" w:themeColor="text1"/>
          <w:szCs w:val="20"/>
          <w:lang w:eastAsia="de-DE"/>
        </w:rPr>
        <w:t>ß</w:t>
      </w:r>
      <w:r w:rsidRPr="0046220B">
        <w:rPr>
          <w:rFonts w:eastAsia="Times New Roman" w:cstheme="minorHAnsi"/>
          <w:color w:val="000000" w:themeColor="text1"/>
          <w:szCs w:val="20"/>
          <w:lang w:eastAsia="de-DE"/>
        </w:rPr>
        <w:t xml:space="preserve">nahmen. Es scheint deshalb widersprüchlich, dass das SEM bei Ausbürgerungen, wo den Betroffenen erhebliche und unmittelbare Konsequenzen drohen, einen ausgesprochen </w:t>
      </w:r>
      <w:r w:rsidR="00786D85" w:rsidRPr="0046220B">
        <w:rPr>
          <w:rFonts w:eastAsia="Times New Roman" w:cstheme="minorHAnsi"/>
          <w:color w:val="000000" w:themeColor="text1"/>
          <w:szCs w:val="20"/>
          <w:lang w:eastAsia="de-DE"/>
        </w:rPr>
        <w:t>großen</w:t>
      </w:r>
      <w:r w:rsidRPr="0046220B">
        <w:rPr>
          <w:rFonts w:eastAsia="Times New Roman" w:cstheme="minorHAnsi"/>
          <w:color w:val="000000" w:themeColor="text1"/>
          <w:szCs w:val="20"/>
          <w:lang w:eastAsia="de-DE"/>
        </w:rPr>
        <w:t xml:space="preserve"> Ermessensspielraum hat und sich nicht auf präzise Gesetzesbestimmungen stützen kann (vgl. Achermann 2015: 10; Deutscher Bundestag 2018: 11; Jikhareva in: WOZ 2019). </w:t>
      </w:r>
    </w:p>
    <w:p w14:paraId="00862222" w14:textId="5874080E" w:rsidR="003C268C" w:rsidRPr="0046220B" w:rsidRDefault="009F5912" w:rsidP="009F5912">
      <w:pPr>
        <w:pStyle w:val="3Ebene"/>
      </w:pPr>
      <w:bookmarkStart w:id="31" w:name="_Toc188272770"/>
      <w:bookmarkStart w:id="32" w:name="_Toc195609705"/>
      <w:r>
        <w:t xml:space="preserve">3.3.5 </w:t>
      </w:r>
      <w:r w:rsidR="003C268C" w:rsidRPr="0046220B">
        <w:t xml:space="preserve">Doppel- und </w:t>
      </w:r>
      <w:proofErr w:type="gramStart"/>
      <w:r w:rsidR="003C268C" w:rsidRPr="0046220B">
        <w:t>Mehrfachbürger:innen</w:t>
      </w:r>
      <w:proofErr w:type="gramEnd"/>
      <w:r w:rsidR="003C268C" w:rsidRPr="0046220B">
        <w:t xml:space="preserve"> und Aufenthaltsregelung</w:t>
      </w:r>
      <w:bookmarkEnd w:id="31"/>
      <w:bookmarkEnd w:id="32"/>
    </w:p>
    <w:p w14:paraId="34D82E4C" w14:textId="77777777" w:rsidR="003C268C" w:rsidRPr="0046220B" w:rsidRDefault="003C268C" w:rsidP="003C268C">
      <w:pPr>
        <w:spacing w:before="120" w:line="276" w:lineRule="auto"/>
        <w:jc w:val="both"/>
        <w:rPr>
          <w:rFonts w:eastAsia="Times New Roman" w:cstheme="minorHAnsi"/>
          <w:color w:val="000000" w:themeColor="text1"/>
          <w:szCs w:val="20"/>
          <w:lang w:eastAsia="de-DE"/>
        </w:rPr>
      </w:pPr>
      <w:r w:rsidRPr="0046220B">
        <w:rPr>
          <w:rFonts w:eastAsia="Times New Roman" w:cstheme="minorHAnsi"/>
          <w:color w:val="000000" w:themeColor="text1"/>
          <w:szCs w:val="20"/>
          <w:lang w:eastAsia="de-DE"/>
        </w:rPr>
        <w:t xml:space="preserve">Die Rechtslehre weist darauf hin, dass der Bürgerrechtsentzug eine Vielzahl zusätzlicher migrations- und aufenthaltsrechtlicher Konsequenzen haben kann (vgl. Achermann 2015: 18 f.). Es ist davon auszugehen, dass in der Praxis kaum unbedenkliche Fallkonstellationen bestehen, die den Entzug des Bürgerrechts ohne komplexe Folgefragen ermöglichen. Es müsste sich dabei um </w:t>
      </w:r>
      <w:proofErr w:type="gramStart"/>
      <w:r w:rsidRPr="0046220B">
        <w:rPr>
          <w:rFonts w:eastAsia="Times New Roman" w:cstheme="minorHAnsi"/>
          <w:color w:val="000000" w:themeColor="text1"/>
          <w:szCs w:val="20"/>
          <w:lang w:eastAsia="de-DE"/>
        </w:rPr>
        <w:t>Täter:innen</w:t>
      </w:r>
      <w:proofErr w:type="gramEnd"/>
      <w:r w:rsidRPr="0046220B">
        <w:rPr>
          <w:rFonts w:eastAsia="Times New Roman" w:cstheme="minorHAnsi"/>
          <w:color w:val="000000" w:themeColor="text1"/>
          <w:szCs w:val="20"/>
          <w:lang w:eastAsia="de-DE"/>
        </w:rPr>
        <w:t xml:space="preserve"> mit Zweitpass eines sicheren Drittstaates handeln oder eines Landes, das eine verfolgungssichere Rückübernahme garantiert oder wohin zeitnahe Abschiebung möglich wäre. Denkbar wäre dies etwa bei einem erwachsenen, gesunden männlichen Straftäter mit schweizerisch-albanischer Nationalität.</w:t>
      </w:r>
      <w:r w:rsidRPr="0046220B">
        <w:rPr>
          <w:rStyle w:val="Funotenzeichen"/>
          <w:rFonts w:eastAsia="Times New Roman" w:cstheme="minorHAnsi"/>
          <w:color w:val="000000" w:themeColor="text1"/>
          <w:szCs w:val="20"/>
          <w:lang w:eastAsia="de-DE"/>
        </w:rPr>
        <w:footnoteReference w:id="22"/>
      </w:r>
      <w:r w:rsidRPr="0046220B">
        <w:rPr>
          <w:rFonts w:eastAsia="Times New Roman" w:cstheme="minorHAnsi"/>
          <w:color w:val="000000" w:themeColor="text1"/>
          <w:szCs w:val="20"/>
          <w:lang w:eastAsia="de-DE"/>
        </w:rPr>
        <w:t xml:space="preserve"> </w:t>
      </w:r>
    </w:p>
    <w:p w14:paraId="6474D913" w14:textId="7DB0C15C" w:rsidR="003C268C" w:rsidRPr="0046220B" w:rsidRDefault="003C268C" w:rsidP="003C268C">
      <w:pPr>
        <w:spacing w:before="120" w:line="276" w:lineRule="auto"/>
        <w:jc w:val="both"/>
        <w:rPr>
          <w:rFonts w:eastAsia="Times New Roman" w:cstheme="minorHAnsi"/>
          <w:color w:val="000000" w:themeColor="text1"/>
          <w:szCs w:val="20"/>
          <w:lang w:eastAsia="de-DE"/>
        </w:rPr>
      </w:pPr>
      <w:r w:rsidRPr="0046220B">
        <w:rPr>
          <w:rFonts w:eastAsia="Times New Roman" w:cstheme="minorHAnsi"/>
          <w:color w:val="000000" w:themeColor="text1"/>
          <w:szCs w:val="20"/>
          <w:lang w:eastAsia="de-DE"/>
        </w:rPr>
        <w:t xml:space="preserve">Welches wäre das korrekte Vorgehen, wenn trotz Ausbürgerung keine </w:t>
      </w:r>
      <w:r w:rsidR="00ED2C70">
        <w:rPr>
          <w:rFonts w:eastAsia="Times New Roman" w:cstheme="minorHAnsi"/>
          <w:color w:val="000000" w:themeColor="text1"/>
          <w:szCs w:val="20"/>
          <w:lang w:eastAsia="de-DE"/>
        </w:rPr>
        <w:t>Abschiebung</w:t>
      </w:r>
      <w:r w:rsidRPr="0046220B">
        <w:rPr>
          <w:rFonts w:eastAsia="Times New Roman" w:cstheme="minorHAnsi"/>
          <w:color w:val="000000" w:themeColor="text1"/>
          <w:szCs w:val="20"/>
          <w:lang w:eastAsia="de-DE"/>
        </w:rPr>
        <w:t xml:space="preserve"> </w:t>
      </w:r>
      <w:r w:rsidRPr="0046220B">
        <w:rPr>
          <w:rFonts w:eastAsia="Times New Roman" w:cstheme="minorHAnsi"/>
          <w:i/>
          <w:iCs/>
          <w:color w:val="000000" w:themeColor="text1"/>
          <w:szCs w:val="20"/>
          <w:lang w:eastAsia="de-DE"/>
        </w:rPr>
        <w:t>möglich</w:t>
      </w:r>
      <w:r w:rsidRPr="0046220B">
        <w:rPr>
          <w:rFonts w:eastAsia="Times New Roman" w:cstheme="minorHAnsi"/>
          <w:color w:val="000000" w:themeColor="text1"/>
          <w:szCs w:val="20"/>
          <w:lang w:eastAsia="de-DE"/>
        </w:rPr>
        <w:t xml:space="preserve"> und keine Übernahme durch den Zweitstaat denkbar ist? Weil das Schweizer Migrationsrecht bei Gefährdungen der inneren Sicherheit eine vorläufige Aufnahme untersagt, würde eine neue </w:t>
      </w:r>
      <w:r w:rsidR="002C1E6C">
        <w:t>„</w:t>
      </w:r>
      <w:r w:rsidRPr="0046220B">
        <w:rPr>
          <w:rFonts w:eastAsia="Times New Roman" w:cstheme="minorHAnsi"/>
          <w:color w:val="000000" w:themeColor="text1"/>
          <w:szCs w:val="20"/>
          <w:lang w:eastAsia="de-DE"/>
        </w:rPr>
        <w:t>Kategorie</w:t>
      </w:r>
      <w:r w:rsidR="005503A4">
        <w:t>“</w:t>
      </w:r>
      <w:r w:rsidRPr="0046220B">
        <w:rPr>
          <w:rFonts w:eastAsia="Times New Roman" w:cstheme="minorHAnsi"/>
          <w:color w:val="000000" w:themeColor="text1"/>
          <w:szCs w:val="20"/>
          <w:lang w:eastAsia="de-DE"/>
        </w:rPr>
        <w:t xml:space="preserve"> nicht wegweisbarer </w:t>
      </w:r>
      <w:proofErr w:type="gramStart"/>
      <w:r w:rsidRPr="0046220B">
        <w:rPr>
          <w:rFonts w:eastAsia="Times New Roman" w:cstheme="minorHAnsi"/>
          <w:color w:val="000000" w:themeColor="text1"/>
          <w:szCs w:val="20"/>
          <w:lang w:eastAsia="de-DE"/>
        </w:rPr>
        <w:t>Ausländer:innen</w:t>
      </w:r>
      <w:proofErr w:type="gramEnd"/>
      <w:r w:rsidRPr="0046220B">
        <w:rPr>
          <w:rFonts w:eastAsia="Times New Roman" w:cstheme="minorHAnsi"/>
          <w:color w:val="000000" w:themeColor="text1"/>
          <w:szCs w:val="20"/>
          <w:lang w:eastAsia="de-DE"/>
        </w:rPr>
        <w:t xml:space="preserve"> ohne geregelten Aufenthalt geschaffen. Mit verheerendem Resultat: Möglicherweise wäre dere</w:t>
      </w:r>
      <w:r w:rsidR="002C1E6C">
        <w:rPr>
          <w:rFonts w:eastAsia="Times New Roman" w:cstheme="minorHAnsi"/>
          <w:color w:val="000000" w:themeColor="text1"/>
          <w:szCs w:val="20"/>
          <w:lang w:eastAsia="de-DE"/>
        </w:rPr>
        <w:t>n</w:t>
      </w:r>
      <w:r w:rsidRPr="0046220B">
        <w:rPr>
          <w:rFonts w:eastAsia="Times New Roman" w:cstheme="minorHAnsi"/>
          <w:color w:val="000000" w:themeColor="text1"/>
          <w:szCs w:val="20"/>
          <w:lang w:eastAsia="de-DE"/>
        </w:rPr>
        <w:t xml:space="preserve"> Ausbürgerung sogar gut begründet sowie grund- und menschenrechtskonform erfolgt. Ohne eine Möglichkeit, die Person in den Zweitstaat abzuschieben, wäre die Folge</w:t>
      </w:r>
      <w:r w:rsidR="0004390D">
        <w:rPr>
          <w:rFonts w:eastAsia="Times New Roman" w:cstheme="minorHAnsi"/>
          <w:color w:val="000000" w:themeColor="text1"/>
          <w:szCs w:val="20"/>
          <w:lang w:eastAsia="de-DE"/>
        </w:rPr>
        <w:t xml:space="preserve"> jedoch</w:t>
      </w:r>
      <w:r w:rsidRPr="0046220B">
        <w:rPr>
          <w:rFonts w:eastAsia="Times New Roman" w:cstheme="minorHAnsi"/>
          <w:color w:val="000000" w:themeColor="text1"/>
          <w:szCs w:val="20"/>
          <w:lang w:eastAsia="de-DE"/>
        </w:rPr>
        <w:t>, dass sie ohne geregelten Aufenthalt mittel -und langfristig weiter in der Schweiz leben würde (siehe Kap. 4.5.5; vgl. Achermann 2015: 21).</w:t>
      </w:r>
      <w:r w:rsidRPr="0046220B">
        <w:rPr>
          <w:rStyle w:val="Funotenzeichen"/>
          <w:rFonts w:eastAsia="Times New Roman" w:cstheme="minorHAnsi"/>
          <w:color w:val="000000" w:themeColor="text1"/>
          <w:szCs w:val="20"/>
          <w:lang w:eastAsia="de-DE"/>
        </w:rPr>
        <w:footnoteReference w:id="23"/>
      </w:r>
      <w:r w:rsidRPr="0046220B">
        <w:rPr>
          <w:rFonts w:eastAsia="Times New Roman" w:cstheme="minorHAnsi"/>
          <w:color w:val="000000" w:themeColor="text1"/>
          <w:szCs w:val="20"/>
          <w:lang w:eastAsia="de-DE"/>
        </w:rPr>
        <w:t xml:space="preserve"> </w:t>
      </w:r>
    </w:p>
    <w:p w14:paraId="71B88D78" w14:textId="797CBF4D" w:rsidR="003C268C" w:rsidRPr="0046220B" w:rsidRDefault="00786D85" w:rsidP="003C268C">
      <w:pPr>
        <w:spacing w:before="120" w:line="276" w:lineRule="auto"/>
        <w:jc w:val="both"/>
        <w:rPr>
          <w:rFonts w:eastAsia="Times New Roman" w:cstheme="minorHAnsi"/>
          <w:color w:val="000000" w:themeColor="text1"/>
          <w:szCs w:val="20"/>
          <w:lang w:eastAsia="de-DE"/>
        </w:rPr>
      </w:pPr>
      <w:r w:rsidRPr="0046220B">
        <w:rPr>
          <w:rFonts w:eastAsia="Times New Roman" w:cstheme="minorHAnsi"/>
          <w:color w:val="000000" w:themeColor="text1"/>
          <w:szCs w:val="20"/>
          <w:lang w:eastAsia="de-DE"/>
        </w:rPr>
        <w:t>Abschließend</w:t>
      </w:r>
      <w:r w:rsidR="003C268C" w:rsidRPr="0046220B">
        <w:rPr>
          <w:rFonts w:eastAsia="Times New Roman" w:cstheme="minorHAnsi"/>
          <w:color w:val="000000" w:themeColor="text1"/>
          <w:szCs w:val="20"/>
          <w:lang w:eastAsia="de-DE"/>
        </w:rPr>
        <w:t xml:space="preserve"> ist darauf hinzuweisen, dass eine Vielzahl an Staaten – durchaus aus nachvollziehbaren Gründen – kein Interesse daran haben, verurteilte </w:t>
      </w:r>
      <w:proofErr w:type="gramStart"/>
      <w:r w:rsidR="003C268C" w:rsidRPr="0046220B">
        <w:rPr>
          <w:rFonts w:eastAsia="Times New Roman" w:cstheme="minorHAnsi"/>
          <w:color w:val="000000" w:themeColor="text1"/>
          <w:szCs w:val="20"/>
          <w:lang w:eastAsia="de-DE"/>
        </w:rPr>
        <w:t>Straftäter:innen</w:t>
      </w:r>
      <w:proofErr w:type="gramEnd"/>
      <w:r w:rsidR="003C268C" w:rsidRPr="0046220B">
        <w:rPr>
          <w:rFonts w:eastAsia="Times New Roman" w:cstheme="minorHAnsi"/>
          <w:color w:val="000000" w:themeColor="text1"/>
          <w:szCs w:val="20"/>
          <w:lang w:eastAsia="de-DE"/>
        </w:rPr>
        <w:t xml:space="preserve"> zurückzunehmen. Durch eine simple Verweigerung, notwendige Reisedokumente auszustellen, kann jegliche Wegweisungsbemühung im Keim erstickt werden. Die aufgezeigten Unwägbarkeiten und </w:t>
      </w:r>
      <w:r w:rsidR="003C268C" w:rsidRPr="0046220B">
        <w:rPr>
          <w:rFonts w:eastAsia="Times New Roman" w:cstheme="minorHAnsi"/>
          <w:color w:val="000000" w:themeColor="text1"/>
          <w:szCs w:val="20"/>
          <w:lang w:eastAsia="de-DE"/>
        </w:rPr>
        <w:lastRenderedPageBreak/>
        <w:t xml:space="preserve">Umsetzungsschwierigkeiten in der Praxis werden an dieser Stelle nicht vertieft. Es ist jedoch davon auszugehen, dass der Wunsch nach unbürokratischen, effizienten Ausbürgerungen von </w:t>
      </w:r>
      <w:proofErr w:type="gramStart"/>
      <w:r w:rsidR="003C268C" w:rsidRPr="0046220B">
        <w:rPr>
          <w:rFonts w:eastAsia="Times New Roman" w:cstheme="minorHAnsi"/>
          <w:color w:val="000000" w:themeColor="text1"/>
          <w:szCs w:val="20"/>
          <w:lang w:eastAsia="de-DE"/>
        </w:rPr>
        <w:t>Straftäter:innen</w:t>
      </w:r>
      <w:proofErr w:type="gramEnd"/>
      <w:r w:rsidR="003C268C" w:rsidRPr="0046220B">
        <w:rPr>
          <w:rFonts w:eastAsia="Times New Roman" w:cstheme="minorHAnsi"/>
          <w:color w:val="000000" w:themeColor="text1"/>
          <w:szCs w:val="20"/>
          <w:lang w:eastAsia="de-DE"/>
        </w:rPr>
        <w:t xml:space="preserve"> bei genauer Betrachtung eine Pandorabüchse darstellt. Mindestens aber bewirkt es ein </w:t>
      </w:r>
      <w:r w:rsidR="003C268C" w:rsidRPr="0046220B">
        <w:rPr>
          <w:rFonts w:eastAsia="Times New Roman" w:cstheme="minorHAnsi"/>
          <w:i/>
          <w:iCs/>
          <w:color w:val="000000" w:themeColor="text1"/>
          <w:szCs w:val="20"/>
          <w:lang w:eastAsia="de-DE"/>
        </w:rPr>
        <w:t>legal limbo</w:t>
      </w:r>
      <w:r w:rsidR="003C268C" w:rsidRPr="0046220B">
        <w:rPr>
          <w:rFonts w:eastAsia="Times New Roman" w:cstheme="minorHAnsi"/>
          <w:color w:val="000000" w:themeColor="text1"/>
          <w:szCs w:val="20"/>
          <w:lang w:eastAsia="de-DE"/>
        </w:rPr>
        <w:t xml:space="preserve"> (Bolhuis, van Wijk 2020: 354) mit gravierenden Konsequenzen für die Schweiz.</w:t>
      </w:r>
    </w:p>
    <w:p w14:paraId="50183BD7" w14:textId="0B5237D8" w:rsidR="003C268C" w:rsidRPr="0046220B" w:rsidRDefault="009F5912" w:rsidP="009F5912">
      <w:pPr>
        <w:pStyle w:val="3Ebene"/>
      </w:pPr>
      <w:bookmarkStart w:id="33" w:name="_Toc188272771"/>
      <w:bookmarkStart w:id="34" w:name="_Toc195609706"/>
      <w:r>
        <w:t xml:space="preserve">3.3.6 </w:t>
      </w:r>
      <w:r w:rsidR="003C268C" w:rsidRPr="0046220B">
        <w:t>Bürgerrechtsentzug und Familienangehörige</w:t>
      </w:r>
      <w:bookmarkEnd w:id="33"/>
      <w:bookmarkEnd w:id="34"/>
    </w:p>
    <w:p w14:paraId="4CBC7BB3" w14:textId="0F82B7E9" w:rsidR="003C268C" w:rsidRPr="0046220B" w:rsidRDefault="003C268C" w:rsidP="003C268C">
      <w:pPr>
        <w:spacing w:before="120" w:line="276" w:lineRule="auto"/>
        <w:jc w:val="both"/>
        <w:rPr>
          <w:rFonts w:eastAsia="Times New Roman" w:cstheme="minorHAnsi"/>
          <w:color w:val="000000" w:themeColor="text1"/>
          <w:szCs w:val="20"/>
          <w:lang w:eastAsia="de-DE"/>
        </w:rPr>
      </w:pPr>
      <w:r w:rsidRPr="0046220B">
        <w:rPr>
          <w:rFonts w:eastAsia="Times New Roman" w:cstheme="minorHAnsi"/>
          <w:color w:val="000000" w:themeColor="text1"/>
          <w:szCs w:val="20"/>
          <w:lang w:eastAsia="de-DE"/>
        </w:rPr>
        <w:t xml:space="preserve">Komplexe Fragen stellen </w:t>
      </w:r>
      <w:r w:rsidR="00D84FA6">
        <w:rPr>
          <w:rFonts w:eastAsia="Times New Roman" w:cstheme="minorHAnsi"/>
          <w:color w:val="000000" w:themeColor="text1"/>
          <w:szCs w:val="20"/>
          <w:lang w:eastAsia="de-DE"/>
        </w:rPr>
        <w:t xml:space="preserve">sich </w:t>
      </w:r>
      <w:r w:rsidRPr="0046220B">
        <w:rPr>
          <w:rFonts w:eastAsia="Times New Roman" w:cstheme="minorHAnsi"/>
          <w:color w:val="000000" w:themeColor="text1"/>
          <w:szCs w:val="20"/>
          <w:lang w:eastAsia="de-DE"/>
        </w:rPr>
        <w:t>ferner in Bezug auf die Auswirkungen von Art. 42 BüG auf Familienangehörige in der Schweiz.</w:t>
      </w:r>
      <w:r w:rsidRPr="0046220B">
        <w:rPr>
          <w:rStyle w:val="Funotenzeichen"/>
          <w:rFonts w:eastAsia="Times New Roman" w:cstheme="minorHAnsi"/>
          <w:color w:val="000000" w:themeColor="text1"/>
          <w:szCs w:val="20"/>
          <w:lang w:eastAsia="de-DE"/>
        </w:rPr>
        <w:footnoteReference w:id="24"/>
      </w:r>
      <w:r w:rsidRPr="0046220B">
        <w:rPr>
          <w:rFonts w:eastAsia="Times New Roman" w:cstheme="minorHAnsi"/>
          <w:color w:val="000000" w:themeColor="text1"/>
          <w:szCs w:val="20"/>
          <w:lang w:eastAsia="de-DE"/>
        </w:rPr>
        <w:t xml:space="preserve"> Weder Art. 42 BüG noch 30 BüV </w:t>
      </w:r>
      <w:r w:rsidR="00786D85" w:rsidRPr="0046220B">
        <w:rPr>
          <w:rFonts w:eastAsia="Times New Roman" w:cstheme="minorHAnsi"/>
          <w:color w:val="000000" w:themeColor="text1"/>
          <w:szCs w:val="20"/>
          <w:lang w:eastAsia="de-DE"/>
        </w:rPr>
        <w:t>äußern</w:t>
      </w:r>
      <w:r w:rsidRPr="0046220B">
        <w:rPr>
          <w:rFonts w:eastAsia="Times New Roman" w:cstheme="minorHAnsi"/>
          <w:color w:val="000000" w:themeColor="text1"/>
          <w:szCs w:val="20"/>
          <w:lang w:eastAsia="de-DE"/>
        </w:rPr>
        <w:t xml:space="preserve"> sich zu den Rechtsfolgen für Angehörige von </w:t>
      </w:r>
      <w:proofErr w:type="gramStart"/>
      <w:r w:rsidRPr="0046220B">
        <w:rPr>
          <w:rFonts w:eastAsia="Times New Roman" w:cstheme="minorHAnsi"/>
          <w:color w:val="000000" w:themeColor="text1"/>
          <w:szCs w:val="20"/>
          <w:lang w:eastAsia="de-DE"/>
        </w:rPr>
        <w:t>Straftäter:innen</w:t>
      </w:r>
      <w:proofErr w:type="gramEnd"/>
      <w:r w:rsidRPr="0046220B">
        <w:rPr>
          <w:rFonts w:eastAsia="Times New Roman" w:cstheme="minorHAnsi"/>
          <w:color w:val="000000" w:themeColor="text1"/>
          <w:szCs w:val="20"/>
          <w:lang w:eastAsia="de-DE"/>
        </w:rPr>
        <w:t xml:space="preserve">, denen das Schweizer Bürgerrecht entzogen wurde (vgl. Achermann 2015: 19). Dieses Schweigen des Gesetzes mag erstaunen, ist es doch durchaus realistisch, dass </w:t>
      </w:r>
      <w:proofErr w:type="gramStart"/>
      <w:r w:rsidRPr="0046220B">
        <w:rPr>
          <w:rFonts w:eastAsia="Times New Roman" w:cstheme="minorHAnsi"/>
          <w:color w:val="000000" w:themeColor="text1"/>
          <w:szCs w:val="20"/>
          <w:lang w:eastAsia="de-DE"/>
        </w:rPr>
        <w:t>ein:e</w:t>
      </w:r>
      <w:proofErr w:type="gramEnd"/>
      <w:r w:rsidRPr="0046220B">
        <w:rPr>
          <w:rFonts w:eastAsia="Times New Roman" w:cstheme="minorHAnsi"/>
          <w:color w:val="000000" w:themeColor="text1"/>
          <w:szCs w:val="20"/>
          <w:lang w:eastAsia="de-DE"/>
        </w:rPr>
        <w:t xml:space="preserve"> </w:t>
      </w:r>
      <w:proofErr w:type="gramStart"/>
      <w:r w:rsidRPr="0046220B">
        <w:rPr>
          <w:rFonts w:eastAsia="Times New Roman" w:cstheme="minorHAnsi"/>
          <w:color w:val="000000" w:themeColor="text1"/>
          <w:szCs w:val="20"/>
          <w:lang w:eastAsia="de-DE"/>
        </w:rPr>
        <w:t>extremistische:r</w:t>
      </w:r>
      <w:proofErr w:type="gramEnd"/>
      <w:r w:rsidRPr="0046220B">
        <w:rPr>
          <w:rFonts w:eastAsia="Times New Roman" w:cstheme="minorHAnsi"/>
          <w:color w:val="000000" w:themeColor="text1"/>
          <w:szCs w:val="20"/>
          <w:lang w:eastAsia="de-DE"/>
        </w:rPr>
        <w:t xml:space="preserve"> und/oder </w:t>
      </w:r>
      <w:proofErr w:type="gramStart"/>
      <w:r w:rsidRPr="0046220B">
        <w:rPr>
          <w:rFonts w:eastAsia="Times New Roman" w:cstheme="minorHAnsi"/>
          <w:color w:val="000000" w:themeColor="text1"/>
          <w:szCs w:val="20"/>
          <w:lang w:eastAsia="de-DE"/>
        </w:rPr>
        <w:t>radikalisierte:r</w:t>
      </w:r>
      <w:proofErr w:type="gramEnd"/>
      <w:r w:rsidRPr="0046220B">
        <w:rPr>
          <w:rFonts w:eastAsia="Times New Roman" w:cstheme="minorHAnsi"/>
          <w:color w:val="000000" w:themeColor="text1"/>
          <w:szCs w:val="20"/>
          <w:lang w:eastAsia="de-DE"/>
        </w:rPr>
        <w:t xml:space="preserve"> Straftäter:in mit Schweizer Pass gleichzeitig Vater/Mutter, Sohn/Tochter oder Ehepartner:in ist. Merz und von Rütte (vgl. in: Uebersax et al. 2022: N. 22.99) betonen, dass die Gesetzeslage in Anbetracht der denkbaren Auswirkungen für Familienangehörige zu rudimentär ist.</w:t>
      </w:r>
      <w:r w:rsidRPr="0046220B">
        <w:rPr>
          <w:rStyle w:val="Funotenzeichen"/>
          <w:rFonts w:eastAsia="Times New Roman" w:cstheme="minorHAnsi"/>
          <w:color w:val="000000" w:themeColor="text1"/>
          <w:szCs w:val="20"/>
          <w:lang w:eastAsia="de-DE"/>
        </w:rPr>
        <w:footnoteReference w:id="25"/>
      </w:r>
      <w:r w:rsidRPr="0046220B">
        <w:rPr>
          <w:rFonts w:eastAsia="Times New Roman" w:cstheme="minorHAnsi"/>
          <w:color w:val="000000" w:themeColor="text1"/>
          <w:szCs w:val="20"/>
          <w:lang w:eastAsia="de-DE"/>
        </w:rPr>
        <w:t xml:space="preserve"> Aus grund- und menschenrechtlicher Perspektive ist offenkundig, dass der (drohende) Entzug des Schweizer Bürgerrechts für Familienangehörige unmittelbare Folgen hat.</w:t>
      </w:r>
      <w:r w:rsidRPr="0046220B">
        <w:rPr>
          <w:rStyle w:val="Funotenzeichen"/>
          <w:rFonts w:eastAsia="Times New Roman" w:cstheme="minorHAnsi"/>
          <w:color w:val="000000" w:themeColor="text1"/>
          <w:szCs w:val="20"/>
          <w:lang w:eastAsia="de-DE"/>
        </w:rPr>
        <w:footnoteReference w:id="26"/>
      </w:r>
      <w:r w:rsidRPr="0046220B">
        <w:rPr>
          <w:rFonts w:eastAsia="Times New Roman" w:cstheme="minorHAnsi"/>
          <w:color w:val="000000" w:themeColor="text1"/>
          <w:szCs w:val="20"/>
          <w:lang w:eastAsia="de-DE"/>
        </w:rPr>
        <w:t xml:space="preserve"> </w:t>
      </w:r>
      <w:proofErr w:type="gramStart"/>
      <w:r w:rsidRPr="0046220B">
        <w:rPr>
          <w:rFonts w:eastAsia="Times New Roman" w:cstheme="minorHAnsi"/>
          <w:color w:val="000000" w:themeColor="text1"/>
          <w:szCs w:val="20"/>
          <w:lang w:eastAsia="de-DE"/>
        </w:rPr>
        <w:t>Genannt</w:t>
      </w:r>
      <w:proofErr w:type="gramEnd"/>
      <w:r w:rsidRPr="0046220B">
        <w:rPr>
          <w:rFonts w:eastAsia="Times New Roman" w:cstheme="minorHAnsi"/>
          <w:color w:val="000000" w:themeColor="text1"/>
          <w:szCs w:val="20"/>
          <w:lang w:eastAsia="de-DE"/>
        </w:rPr>
        <w:t xml:space="preserve"> seien etwa Aufenthaltstitel von Familienangehörigen, die von der ausgebürgerten Person abhängig sind. Dies wäre etwa der Fall bei einer in der Schweiz lebenden Ehefrau eines tunesisch-schweizerischen Doppelbürgers mit algerischer Nationalität.</w:t>
      </w:r>
    </w:p>
    <w:p w14:paraId="75E25EA3" w14:textId="3D68E7AA" w:rsidR="003C268C" w:rsidRPr="0046220B" w:rsidRDefault="009F5912" w:rsidP="009F5912">
      <w:pPr>
        <w:pStyle w:val="2Ebene"/>
      </w:pPr>
      <w:bookmarkStart w:id="35" w:name="_Toc188272772"/>
      <w:bookmarkStart w:id="36" w:name="_Toc195609707"/>
      <w:r>
        <w:t xml:space="preserve">3.4 </w:t>
      </w:r>
      <w:r w:rsidR="003C268C" w:rsidRPr="0046220B">
        <w:t>Zwischenfazit</w:t>
      </w:r>
      <w:bookmarkEnd w:id="35"/>
      <w:bookmarkEnd w:id="36"/>
      <w:r w:rsidR="003C268C" w:rsidRPr="0046220B">
        <w:t xml:space="preserve"> </w:t>
      </w:r>
    </w:p>
    <w:p w14:paraId="0855808A" w14:textId="22DF8E28" w:rsidR="003C268C" w:rsidRPr="0046220B" w:rsidRDefault="003C268C" w:rsidP="003C268C">
      <w:pPr>
        <w:spacing w:before="120" w:line="276" w:lineRule="auto"/>
        <w:jc w:val="both"/>
        <w:rPr>
          <w:rFonts w:eastAsia="Times New Roman" w:cstheme="minorHAnsi"/>
          <w:color w:val="000000" w:themeColor="text1"/>
          <w:szCs w:val="20"/>
          <w:lang w:eastAsia="de-DE"/>
        </w:rPr>
      </w:pPr>
      <w:r w:rsidRPr="0046220B">
        <w:rPr>
          <w:rFonts w:eastAsia="Times New Roman" w:cstheme="minorHAnsi"/>
          <w:color w:val="000000" w:themeColor="text1"/>
          <w:szCs w:val="20"/>
          <w:lang w:eastAsia="de-DE"/>
        </w:rPr>
        <w:t xml:space="preserve">Die vorangehende Diskussion illustriert, dass der Bürgerrechtsentzug als staatliche </w:t>
      </w:r>
      <w:r w:rsidR="00786D85" w:rsidRPr="0046220B">
        <w:rPr>
          <w:rFonts w:eastAsia="Times New Roman" w:cstheme="minorHAnsi"/>
          <w:color w:val="000000" w:themeColor="text1"/>
          <w:szCs w:val="20"/>
          <w:lang w:eastAsia="de-DE"/>
        </w:rPr>
        <w:t>Maßnahme</w:t>
      </w:r>
      <w:r w:rsidRPr="0046220B">
        <w:rPr>
          <w:rFonts w:eastAsia="Times New Roman" w:cstheme="minorHAnsi"/>
          <w:color w:val="000000" w:themeColor="text1"/>
          <w:szCs w:val="20"/>
          <w:lang w:eastAsia="de-DE"/>
        </w:rPr>
        <w:t xml:space="preserve"> in engen juristischen Grenzen möglich und zulässig ist. Nicht zulässig ist der Entzug des Bürgerrechts allein zum Zweck, </w:t>
      </w:r>
      <w:proofErr w:type="gramStart"/>
      <w:r w:rsidRPr="0046220B">
        <w:rPr>
          <w:rFonts w:eastAsia="Times New Roman" w:cstheme="minorHAnsi"/>
          <w:color w:val="000000" w:themeColor="text1"/>
          <w:szCs w:val="20"/>
          <w:lang w:eastAsia="de-DE"/>
        </w:rPr>
        <w:t>Straftäter:innen</w:t>
      </w:r>
      <w:proofErr w:type="gramEnd"/>
      <w:r w:rsidRPr="0046220B">
        <w:rPr>
          <w:rFonts w:eastAsia="Times New Roman" w:cstheme="minorHAnsi"/>
          <w:color w:val="000000" w:themeColor="text1"/>
          <w:szCs w:val="20"/>
          <w:lang w:eastAsia="de-DE"/>
        </w:rPr>
        <w:t xml:space="preserve"> des Landes zu verweisen. Besondere Fragen stellen sich nach der Solidarität zur Staatengemeinschaft. So kreiert das Bürgerrecht eine besondere Verantwortung zwischen dem Staat und seinen </w:t>
      </w:r>
      <w:proofErr w:type="gramStart"/>
      <w:r w:rsidRPr="0046220B">
        <w:rPr>
          <w:rFonts w:eastAsia="Times New Roman" w:cstheme="minorHAnsi"/>
          <w:color w:val="000000" w:themeColor="text1"/>
          <w:szCs w:val="20"/>
          <w:lang w:eastAsia="de-DE"/>
        </w:rPr>
        <w:t>Bürger:innen</w:t>
      </w:r>
      <w:proofErr w:type="gramEnd"/>
      <w:r w:rsidRPr="0046220B">
        <w:rPr>
          <w:rFonts w:eastAsia="Times New Roman" w:cstheme="minorHAnsi"/>
          <w:color w:val="000000" w:themeColor="text1"/>
          <w:szCs w:val="20"/>
          <w:lang w:eastAsia="de-DE"/>
        </w:rPr>
        <w:t xml:space="preserve">. Sich unliebsamen </w:t>
      </w:r>
      <w:proofErr w:type="gramStart"/>
      <w:r w:rsidRPr="0046220B">
        <w:rPr>
          <w:rFonts w:eastAsia="Times New Roman" w:cstheme="minorHAnsi"/>
          <w:color w:val="000000" w:themeColor="text1"/>
          <w:szCs w:val="20"/>
          <w:lang w:eastAsia="de-DE"/>
        </w:rPr>
        <w:t>Bürger:innen</w:t>
      </w:r>
      <w:proofErr w:type="gramEnd"/>
      <w:r w:rsidRPr="0046220B">
        <w:rPr>
          <w:rFonts w:eastAsia="Times New Roman" w:cstheme="minorHAnsi"/>
          <w:color w:val="000000" w:themeColor="text1"/>
          <w:szCs w:val="20"/>
          <w:lang w:eastAsia="de-DE"/>
        </w:rPr>
        <w:t xml:space="preserve"> – insbesondere extremistischen und/oder radikalisierten </w:t>
      </w:r>
      <w:proofErr w:type="gramStart"/>
      <w:r w:rsidRPr="0046220B">
        <w:rPr>
          <w:rFonts w:eastAsia="Times New Roman" w:cstheme="minorHAnsi"/>
          <w:color w:val="000000" w:themeColor="text1"/>
          <w:szCs w:val="20"/>
          <w:lang w:eastAsia="de-DE"/>
        </w:rPr>
        <w:t>Straftäter:innen</w:t>
      </w:r>
      <w:proofErr w:type="gramEnd"/>
      <w:r w:rsidRPr="0046220B">
        <w:rPr>
          <w:rFonts w:eastAsia="Times New Roman" w:cstheme="minorHAnsi"/>
          <w:color w:val="000000" w:themeColor="text1"/>
          <w:szCs w:val="20"/>
          <w:lang w:eastAsia="de-DE"/>
        </w:rPr>
        <w:t xml:space="preserve"> – auf pragmatische Weise durch Bürgerrechtsentzug zu entledigen, steht dazu in Konflikt. In der internationalen Extremismus- und Terrorismusbekämpfung dürften nationale Alleingänge kaum erfolgversprechend sein. Vielmehr sind kooperative, verantwortungsvolle und menschenrechtskonforme Ansätze angezeigt.</w:t>
      </w:r>
    </w:p>
    <w:p w14:paraId="5330E235" w14:textId="77777777" w:rsidR="003C268C" w:rsidRPr="0046220B" w:rsidRDefault="003C268C" w:rsidP="003C268C">
      <w:pPr>
        <w:spacing w:before="120" w:line="276" w:lineRule="auto"/>
        <w:jc w:val="both"/>
        <w:rPr>
          <w:rFonts w:eastAsia="Times New Roman" w:cstheme="minorHAnsi"/>
          <w:color w:val="000000" w:themeColor="text1"/>
          <w:szCs w:val="20"/>
          <w:lang w:eastAsia="de-DE"/>
        </w:rPr>
      </w:pPr>
      <w:r w:rsidRPr="0046220B">
        <w:rPr>
          <w:rFonts w:eastAsia="Times New Roman" w:cstheme="minorHAnsi"/>
          <w:color w:val="000000" w:themeColor="text1"/>
          <w:szCs w:val="20"/>
          <w:lang w:eastAsia="de-DE"/>
        </w:rPr>
        <w:t xml:space="preserve">Aus juristischer Warte wurden fünf Themenbereiche ausgewählt, um den Bürgerrechtsentzug als Instrument im Umgang mit extremistischen und/oder radikalisierten </w:t>
      </w:r>
      <w:proofErr w:type="gramStart"/>
      <w:r w:rsidRPr="0046220B">
        <w:rPr>
          <w:rFonts w:eastAsia="Times New Roman" w:cstheme="minorHAnsi"/>
          <w:color w:val="000000" w:themeColor="text1"/>
          <w:szCs w:val="20"/>
          <w:lang w:eastAsia="de-DE"/>
        </w:rPr>
        <w:t>Straftäter:innen</w:t>
      </w:r>
      <w:proofErr w:type="gramEnd"/>
      <w:r w:rsidRPr="0046220B">
        <w:rPr>
          <w:rFonts w:eastAsia="Times New Roman" w:cstheme="minorHAnsi"/>
          <w:color w:val="000000" w:themeColor="text1"/>
          <w:szCs w:val="20"/>
          <w:lang w:eastAsia="de-DE"/>
        </w:rPr>
        <w:t xml:space="preserve"> kritisch zu würdigen:</w:t>
      </w:r>
    </w:p>
    <w:p w14:paraId="293E0D4B" w14:textId="16E7921C" w:rsidR="00592148" w:rsidRPr="0046220B" w:rsidRDefault="003C268C" w:rsidP="003C268C">
      <w:pPr>
        <w:spacing w:before="120" w:line="276" w:lineRule="auto"/>
        <w:jc w:val="both"/>
        <w:rPr>
          <w:rFonts w:eastAsia="Times New Roman" w:cstheme="minorHAnsi"/>
          <w:color w:val="000000" w:themeColor="text1"/>
          <w:szCs w:val="20"/>
          <w:lang w:eastAsia="de-DE"/>
        </w:rPr>
      </w:pPr>
      <w:r w:rsidRPr="0046220B">
        <w:rPr>
          <w:rFonts w:eastAsia="Times New Roman" w:cstheme="minorHAnsi"/>
          <w:color w:val="000000" w:themeColor="text1"/>
          <w:szCs w:val="20"/>
          <w:lang w:eastAsia="de-DE"/>
        </w:rPr>
        <w:t>(1) Das Instrument des Bürgerrechtsentzug</w:t>
      </w:r>
      <w:r w:rsidR="0053547F">
        <w:rPr>
          <w:rFonts w:eastAsia="Times New Roman" w:cstheme="minorHAnsi"/>
          <w:color w:val="000000" w:themeColor="text1"/>
          <w:szCs w:val="20"/>
          <w:lang w:eastAsia="de-DE"/>
        </w:rPr>
        <w:t>s</w:t>
      </w:r>
      <w:r w:rsidRPr="0046220B">
        <w:rPr>
          <w:rFonts w:eastAsia="Times New Roman" w:cstheme="minorHAnsi"/>
          <w:color w:val="000000" w:themeColor="text1"/>
          <w:szCs w:val="20"/>
          <w:lang w:eastAsia="de-DE"/>
        </w:rPr>
        <w:t xml:space="preserve"> kann zu </w:t>
      </w:r>
      <w:r w:rsidRPr="0046220B">
        <w:rPr>
          <w:rFonts w:cstheme="minorHAnsi"/>
          <w:color w:val="000000" w:themeColor="text1"/>
        </w:rPr>
        <w:t xml:space="preserve">indirekten Diskriminierungen führen. Es hat in der Praxis </w:t>
      </w:r>
      <w:r w:rsidR="00786D85" w:rsidRPr="0046220B">
        <w:rPr>
          <w:rFonts w:cstheme="minorHAnsi"/>
          <w:color w:val="000000" w:themeColor="text1"/>
        </w:rPr>
        <w:t>ausschließlich</w:t>
      </w:r>
      <w:r w:rsidRPr="0046220B">
        <w:rPr>
          <w:rFonts w:cstheme="minorHAnsi"/>
          <w:color w:val="000000" w:themeColor="text1"/>
        </w:rPr>
        <w:t xml:space="preserve"> oder überwiegend Auswirkungen auf Angehörige einer spezifischen Gruppe, die das </w:t>
      </w:r>
      <w:r w:rsidRPr="0046220B">
        <w:rPr>
          <w:rFonts w:cstheme="minorHAnsi"/>
          <w:i/>
          <w:iCs/>
          <w:color w:val="000000" w:themeColor="text1"/>
        </w:rPr>
        <w:t>verpönte Merkmal</w:t>
      </w:r>
      <w:r w:rsidRPr="0046220B">
        <w:rPr>
          <w:rFonts w:cstheme="minorHAnsi"/>
          <w:color w:val="000000" w:themeColor="text1"/>
        </w:rPr>
        <w:t xml:space="preserve"> der Herkunft aufweisen.</w:t>
      </w:r>
      <w:r w:rsidRPr="0046220B">
        <w:rPr>
          <w:rFonts w:eastAsia="Times New Roman" w:cstheme="minorHAnsi"/>
          <w:color w:val="000000" w:themeColor="text1"/>
          <w:szCs w:val="20"/>
          <w:lang w:eastAsia="de-DE"/>
        </w:rPr>
        <w:t xml:space="preserve"> (2) Jeder staatliche Grundrechtseingriff muss eine einzelfallspezifische </w:t>
      </w:r>
      <w:r w:rsidRPr="0046220B">
        <w:rPr>
          <w:rFonts w:eastAsia="Times New Roman" w:cstheme="minorHAnsi"/>
          <w:i/>
          <w:iCs/>
          <w:color w:val="000000" w:themeColor="text1"/>
          <w:szCs w:val="20"/>
          <w:lang w:eastAsia="de-DE"/>
        </w:rPr>
        <w:t>Verhältnismä</w:t>
      </w:r>
      <w:r w:rsidR="00786D85" w:rsidRPr="0046220B">
        <w:rPr>
          <w:rFonts w:eastAsia="Times New Roman" w:cstheme="minorHAnsi"/>
          <w:i/>
          <w:iCs/>
          <w:color w:val="000000" w:themeColor="text1"/>
          <w:szCs w:val="20"/>
          <w:lang w:eastAsia="de-DE"/>
        </w:rPr>
        <w:t>ß</w:t>
      </w:r>
      <w:r w:rsidRPr="0046220B">
        <w:rPr>
          <w:rFonts w:eastAsia="Times New Roman" w:cstheme="minorHAnsi"/>
          <w:i/>
          <w:iCs/>
          <w:color w:val="000000" w:themeColor="text1"/>
          <w:szCs w:val="20"/>
          <w:lang w:eastAsia="de-DE"/>
        </w:rPr>
        <w:t>igkeitsprüfung</w:t>
      </w:r>
      <w:r w:rsidRPr="0046220B">
        <w:rPr>
          <w:rFonts w:eastAsia="Times New Roman" w:cstheme="minorHAnsi"/>
          <w:color w:val="000000" w:themeColor="text1"/>
          <w:szCs w:val="20"/>
          <w:lang w:eastAsia="de-DE"/>
        </w:rPr>
        <w:t xml:space="preserve"> bestehen. Dabei ist die </w:t>
      </w:r>
      <w:r w:rsidRPr="0046220B">
        <w:rPr>
          <w:rFonts w:eastAsia="Times New Roman" w:cstheme="minorHAnsi"/>
          <w:i/>
          <w:iCs/>
          <w:color w:val="000000" w:themeColor="text1"/>
          <w:szCs w:val="20"/>
          <w:lang w:eastAsia="de-DE"/>
        </w:rPr>
        <w:t>Geeignetheit</w:t>
      </w:r>
      <w:r w:rsidRPr="0046220B">
        <w:rPr>
          <w:rFonts w:eastAsia="Times New Roman" w:cstheme="minorHAnsi"/>
          <w:color w:val="000000" w:themeColor="text1"/>
          <w:szCs w:val="20"/>
          <w:lang w:eastAsia="de-DE"/>
        </w:rPr>
        <w:t xml:space="preserve"> der gewählten </w:t>
      </w:r>
      <w:r w:rsidR="00786D85" w:rsidRPr="0046220B">
        <w:rPr>
          <w:rFonts w:eastAsia="Times New Roman" w:cstheme="minorHAnsi"/>
          <w:color w:val="000000" w:themeColor="text1"/>
          <w:szCs w:val="20"/>
          <w:lang w:eastAsia="de-DE"/>
        </w:rPr>
        <w:t>Maßnahme</w:t>
      </w:r>
      <w:r w:rsidRPr="0046220B">
        <w:rPr>
          <w:rFonts w:eastAsia="Times New Roman" w:cstheme="minorHAnsi"/>
          <w:color w:val="000000" w:themeColor="text1"/>
          <w:szCs w:val="20"/>
          <w:lang w:eastAsia="de-DE"/>
        </w:rPr>
        <w:t xml:space="preserve"> – vorliegend der Entzug des Bürgerrechts –, um den gewünschten Zweck zu erreichen, ein zentrales Kriterium. Der Bürgerrechtsentzug dient dem Schutz der inneren Sicherheit und der Verhinderung von Straftaten (</w:t>
      </w:r>
      <w:r w:rsidRPr="0046220B">
        <w:rPr>
          <w:rFonts w:eastAsia="Times New Roman" w:cstheme="minorHAnsi"/>
          <w:i/>
          <w:iCs/>
          <w:color w:val="000000" w:themeColor="text1"/>
          <w:szCs w:val="20"/>
          <w:lang w:eastAsia="de-DE"/>
        </w:rPr>
        <w:t>geschütztes Rechtsgut</w:t>
      </w:r>
      <w:r w:rsidRPr="0046220B">
        <w:rPr>
          <w:rFonts w:eastAsia="Times New Roman" w:cstheme="minorHAnsi"/>
          <w:color w:val="000000" w:themeColor="text1"/>
          <w:szCs w:val="20"/>
          <w:lang w:eastAsia="de-DE"/>
        </w:rPr>
        <w:t xml:space="preserve">). In der Lehre und Wissenschaft bestehen </w:t>
      </w:r>
      <w:r w:rsidRPr="0046220B">
        <w:rPr>
          <w:rFonts w:eastAsia="Times New Roman" w:cstheme="minorHAnsi"/>
          <w:color w:val="000000" w:themeColor="text1"/>
          <w:szCs w:val="20"/>
          <w:lang w:eastAsia="de-DE"/>
        </w:rPr>
        <w:lastRenderedPageBreak/>
        <w:t xml:space="preserve">erhebliche Zweifel, ob der Entzug der Staatsbürgerschaft verurteilter </w:t>
      </w:r>
      <w:proofErr w:type="gramStart"/>
      <w:r w:rsidRPr="0046220B">
        <w:rPr>
          <w:rFonts w:eastAsia="Times New Roman" w:cstheme="minorHAnsi"/>
          <w:color w:val="000000" w:themeColor="text1"/>
          <w:szCs w:val="20"/>
          <w:lang w:eastAsia="de-DE"/>
        </w:rPr>
        <w:t>Straftäter:innen</w:t>
      </w:r>
      <w:proofErr w:type="gramEnd"/>
      <w:r w:rsidRPr="0046220B">
        <w:rPr>
          <w:rFonts w:eastAsia="Times New Roman" w:cstheme="minorHAnsi"/>
          <w:color w:val="000000" w:themeColor="text1"/>
          <w:szCs w:val="20"/>
          <w:lang w:eastAsia="de-DE"/>
        </w:rPr>
        <w:t xml:space="preserve"> effektiv Gefahren bannt und vor künftigen terroristischen Anschlägen und Straftaten schützt. Damit wird die Geeignetheit grundsätzlich in Frage gestellt. (3) Kritik betrifft den wenig detaillierten Wortlaut von </w:t>
      </w:r>
      <w:r w:rsidR="007E72B0">
        <w:rPr>
          <w:rFonts w:eastAsia="Times New Roman" w:cstheme="minorHAnsi"/>
          <w:color w:val="000000" w:themeColor="text1"/>
          <w:szCs w:val="20"/>
          <w:lang w:eastAsia="de-DE"/>
        </w:rPr>
        <w:br/>
      </w:r>
      <w:r w:rsidRPr="0046220B">
        <w:rPr>
          <w:rFonts w:eastAsia="Times New Roman" w:cstheme="minorHAnsi"/>
          <w:color w:val="000000" w:themeColor="text1"/>
          <w:szCs w:val="20"/>
          <w:lang w:eastAsia="de-DE"/>
        </w:rPr>
        <w:t>Art. 48 BüG und de</w:t>
      </w:r>
      <w:r w:rsidR="00280215">
        <w:rPr>
          <w:rFonts w:eastAsia="Times New Roman" w:cstheme="minorHAnsi"/>
          <w:color w:val="000000" w:themeColor="text1"/>
          <w:szCs w:val="20"/>
          <w:lang w:eastAsia="de-DE"/>
        </w:rPr>
        <w:t>n</w:t>
      </w:r>
      <w:r w:rsidRPr="0046220B">
        <w:rPr>
          <w:rFonts w:eastAsia="Times New Roman" w:cstheme="minorHAnsi"/>
          <w:color w:val="000000" w:themeColor="text1"/>
          <w:szCs w:val="20"/>
          <w:lang w:eastAsia="de-DE"/>
        </w:rPr>
        <w:t xml:space="preserve"> zu </w:t>
      </w:r>
      <w:r w:rsidR="00786D85" w:rsidRPr="0046220B">
        <w:rPr>
          <w:rFonts w:eastAsia="Times New Roman" w:cstheme="minorHAnsi"/>
          <w:color w:val="000000" w:themeColor="text1"/>
          <w:szCs w:val="20"/>
          <w:lang w:eastAsia="de-DE"/>
        </w:rPr>
        <w:t>große</w:t>
      </w:r>
      <w:r w:rsidR="00280215">
        <w:rPr>
          <w:rFonts w:eastAsia="Times New Roman" w:cstheme="minorHAnsi"/>
          <w:color w:val="000000" w:themeColor="text1"/>
          <w:szCs w:val="20"/>
          <w:lang w:eastAsia="de-DE"/>
        </w:rPr>
        <w:t>n</w:t>
      </w:r>
      <w:r w:rsidRPr="0046220B">
        <w:rPr>
          <w:rFonts w:eastAsia="Times New Roman" w:cstheme="minorHAnsi"/>
          <w:color w:val="000000" w:themeColor="text1"/>
          <w:szCs w:val="20"/>
          <w:lang w:eastAsia="de-DE"/>
        </w:rPr>
        <w:t xml:space="preserve"> behördliche</w:t>
      </w:r>
      <w:r w:rsidR="00280215">
        <w:rPr>
          <w:rFonts w:eastAsia="Times New Roman" w:cstheme="minorHAnsi"/>
          <w:color w:val="000000" w:themeColor="text1"/>
          <w:szCs w:val="20"/>
          <w:lang w:eastAsia="de-DE"/>
        </w:rPr>
        <w:t>n</w:t>
      </w:r>
      <w:r w:rsidRPr="0046220B">
        <w:rPr>
          <w:rFonts w:eastAsia="Times New Roman" w:cstheme="minorHAnsi"/>
          <w:color w:val="000000" w:themeColor="text1"/>
          <w:szCs w:val="20"/>
          <w:lang w:eastAsia="de-DE"/>
        </w:rPr>
        <w:t xml:space="preserve"> Ermessensspielraum, um weitreichende Einzelfallentscheidungen zu treffen. (4) Der Bürgerrechtsentzug bewirkt juristische Folgeprobleme und rechtliche Widersprüche. Eine effektive Rückkehr verurteilter </w:t>
      </w:r>
      <w:proofErr w:type="gramStart"/>
      <w:r w:rsidRPr="0046220B">
        <w:rPr>
          <w:rFonts w:eastAsia="Times New Roman" w:cstheme="minorHAnsi"/>
          <w:color w:val="000000" w:themeColor="text1"/>
          <w:szCs w:val="20"/>
          <w:lang w:eastAsia="de-DE"/>
        </w:rPr>
        <w:t>Straftäter:innen</w:t>
      </w:r>
      <w:proofErr w:type="gramEnd"/>
      <w:r w:rsidRPr="0046220B">
        <w:rPr>
          <w:rFonts w:eastAsia="Times New Roman" w:cstheme="minorHAnsi"/>
          <w:color w:val="000000" w:themeColor="text1"/>
          <w:szCs w:val="20"/>
          <w:lang w:eastAsia="de-DE"/>
        </w:rPr>
        <w:t xml:space="preserve"> in einen Zweitstaat dürfte nur selten problemlos möglich sein. Personen würden damit ohne geregelten Aufenthalt in der Schweiz bleiben, was Sicherheitsprobleme verstärkt und Rechtsunsicherheit (</w:t>
      </w:r>
      <w:r w:rsidRPr="0046220B">
        <w:rPr>
          <w:rFonts w:eastAsia="Times New Roman" w:cstheme="minorHAnsi"/>
          <w:i/>
          <w:iCs/>
          <w:color w:val="000000" w:themeColor="text1"/>
          <w:szCs w:val="20"/>
          <w:lang w:eastAsia="de-DE"/>
        </w:rPr>
        <w:t>legal limbo</w:t>
      </w:r>
      <w:r w:rsidRPr="0046220B">
        <w:rPr>
          <w:rFonts w:eastAsia="Times New Roman" w:cstheme="minorHAnsi"/>
          <w:color w:val="000000" w:themeColor="text1"/>
          <w:szCs w:val="20"/>
          <w:lang w:eastAsia="de-DE"/>
        </w:rPr>
        <w:t xml:space="preserve">) schafft. (5) </w:t>
      </w:r>
      <w:r w:rsidR="00370499">
        <w:rPr>
          <w:rFonts w:eastAsia="Times New Roman" w:cstheme="minorHAnsi"/>
          <w:color w:val="000000" w:themeColor="text1"/>
          <w:szCs w:val="20"/>
          <w:lang w:eastAsia="de-DE"/>
        </w:rPr>
        <w:t>Schwer lösbare</w:t>
      </w:r>
      <w:r w:rsidR="00370499" w:rsidRPr="0046220B">
        <w:rPr>
          <w:rFonts w:eastAsia="Times New Roman" w:cstheme="minorHAnsi"/>
          <w:color w:val="000000" w:themeColor="text1"/>
          <w:szCs w:val="20"/>
          <w:lang w:eastAsia="de-DE"/>
        </w:rPr>
        <w:t xml:space="preserve"> </w:t>
      </w:r>
      <w:r w:rsidRPr="0046220B">
        <w:rPr>
          <w:rFonts w:eastAsia="Times New Roman" w:cstheme="minorHAnsi"/>
          <w:color w:val="000000" w:themeColor="text1"/>
          <w:szCs w:val="20"/>
          <w:lang w:eastAsia="de-DE"/>
        </w:rPr>
        <w:t>Rechtsfragen stellen sich in Bezug auf die Familienangehörigen von Personen, denen das Schweizer Bürgerrecht entzogen wurde.</w:t>
      </w:r>
    </w:p>
    <w:p w14:paraId="0F5D2B7D" w14:textId="173AC2E6" w:rsidR="003C268C" w:rsidRPr="0046220B" w:rsidRDefault="009F5912" w:rsidP="009F5912">
      <w:pPr>
        <w:pStyle w:val="1Ebene"/>
      </w:pPr>
      <w:bookmarkStart w:id="37" w:name="_Toc188272773"/>
      <w:bookmarkStart w:id="38" w:name="_Toc195609708"/>
      <w:r>
        <w:t xml:space="preserve">4 </w:t>
      </w:r>
      <w:r w:rsidR="003C268C" w:rsidRPr="0046220B">
        <w:t>Bürgerrechtsentzug als Präventionsma</w:t>
      </w:r>
      <w:r>
        <w:t>ßn</w:t>
      </w:r>
      <w:r w:rsidR="003C268C" w:rsidRPr="0046220B">
        <w:t>ahme</w:t>
      </w:r>
      <w:bookmarkEnd w:id="37"/>
      <w:bookmarkEnd w:id="38"/>
    </w:p>
    <w:p w14:paraId="045A0546" w14:textId="5FCEFDA0" w:rsidR="003C268C" w:rsidRPr="0046220B" w:rsidRDefault="009F5912" w:rsidP="009F5912">
      <w:pPr>
        <w:pStyle w:val="2Ebene"/>
      </w:pPr>
      <w:bookmarkStart w:id="39" w:name="_Toc167538177"/>
      <w:bookmarkStart w:id="40" w:name="_Toc168494905"/>
      <w:bookmarkStart w:id="41" w:name="_Toc188272774"/>
      <w:bookmarkStart w:id="42" w:name="_Toc195609709"/>
      <w:r>
        <w:t xml:space="preserve">4.1 </w:t>
      </w:r>
      <w:r w:rsidR="003C268C" w:rsidRPr="0046220B">
        <w:t>Einführung</w:t>
      </w:r>
      <w:bookmarkEnd w:id="39"/>
      <w:bookmarkEnd w:id="40"/>
      <w:bookmarkEnd w:id="41"/>
      <w:bookmarkEnd w:id="42"/>
    </w:p>
    <w:p w14:paraId="0C88FE03" w14:textId="228B94BD" w:rsidR="003C268C" w:rsidRPr="0046220B" w:rsidRDefault="003C268C" w:rsidP="003C268C">
      <w:pPr>
        <w:spacing w:before="120" w:line="276" w:lineRule="auto"/>
        <w:jc w:val="both"/>
        <w:rPr>
          <w:rFonts w:eastAsia="Times New Roman" w:cstheme="minorHAnsi"/>
          <w:color w:val="000000" w:themeColor="text1"/>
          <w:szCs w:val="20"/>
          <w:lang w:eastAsia="de-DE"/>
        </w:rPr>
      </w:pPr>
      <w:r w:rsidRPr="0046220B">
        <w:rPr>
          <w:rFonts w:eastAsia="Times New Roman" w:cstheme="minorHAnsi"/>
          <w:color w:val="000000" w:themeColor="text1"/>
          <w:szCs w:val="20"/>
          <w:lang w:eastAsia="de-DE"/>
        </w:rPr>
        <w:t>Die vorangehende juristische Analyse kommt zu</w:t>
      </w:r>
      <w:r w:rsidR="00393DE7">
        <w:rPr>
          <w:rFonts w:eastAsia="Times New Roman" w:cstheme="minorHAnsi"/>
          <w:color w:val="000000" w:themeColor="text1"/>
          <w:szCs w:val="20"/>
          <w:lang w:eastAsia="de-DE"/>
        </w:rPr>
        <w:t xml:space="preserve"> de</w:t>
      </w:r>
      <w:r w:rsidRPr="0046220B">
        <w:rPr>
          <w:rFonts w:eastAsia="Times New Roman" w:cstheme="minorHAnsi"/>
          <w:color w:val="000000" w:themeColor="text1"/>
          <w:szCs w:val="20"/>
          <w:lang w:eastAsia="de-DE"/>
        </w:rPr>
        <w:t xml:space="preserve">r Erkenntnis, dass der Bürgerrechtsentzug als effizientes Instrument im Umgang mit extremistischen und/oder radikalisierten </w:t>
      </w:r>
      <w:proofErr w:type="gramStart"/>
      <w:r w:rsidRPr="0046220B">
        <w:rPr>
          <w:rFonts w:eastAsia="Times New Roman" w:cstheme="minorHAnsi"/>
          <w:color w:val="000000" w:themeColor="text1"/>
          <w:szCs w:val="20"/>
          <w:lang w:eastAsia="de-DE"/>
        </w:rPr>
        <w:t>Straftäter:innen</w:t>
      </w:r>
      <w:proofErr w:type="gramEnd"/>
      <w:r w:rsidRPr="0046220B">
        <w:rPr>
          <w:rFonts w:eastAsia="Times New Roman" w:cstheme="minorHAnsi"/>
          <w:color w:val="000000" w:themeColor="text1"/>
          <w:szCs w:val="20"/>
          <w:lang w:eastAsia="de-DE"/>
        </w:rPr>
        <w:t xml:space="preserve"> kritisch zu betrachten ist. Ein Bürgerrechtsentzug ist nach einer sorgfältigen Einzelfallprüfung unter Einhaltung strikter Voraussetzungen zwar möglich, komplexe Folgefragen ergeben sich aber </w:t>
      </w:r>
      <w:r w:rsidR="00393DE7">
        <w:rPr>
          <w:rFonts w:eastAsia="Times New Roman" w:cstheme="minorHAnsi"/>
          <w:color w:val="000000" w:themeColor="text1"/>
          <w:szCs w:val="20"/>
          <w:lang w:eastAsia="de-DE"/>
        </w:rPr>
        <w:t>bei</w:t>
      </w:r>
      <w:r w:rsidRPr="0046220B">
        <w:rPr>
          <w:rFonts w:eastAsia="Times New Roman" w:cstheme="minorHAnsi"/>
          <w:color w:val="000000" w:themeColor="text1"/>
          <w:szCs w:val="20"/>
          <w:lang w:eastAsia="de-DE"/>
        </w:rPr>
        <w:t xml:space="preserve"> der Umsetzung in der Praxis. So bestehen aus rechtlicher Warte Zweifel, ob die </w:t>
      </w:r>
      <w:r w:rsidRPr="0046220B">
        <w:rPr>
          <w:rFonts w:eastAsia="Times New Roman" w:cstheme="minorHAnsi"/>
          <w:i/>
          <w:iCs/>
          <w:color w:val="000000" w:themeColor="text1"/>
          <w:szCs w:val="20"/>
          <w:lang w:eastAsia="de-DE"/>
        </w:rPr>
        <w:t>Geeignetheit</w:t>
      </w:r>
      <w:r w:rsidRPr="0046220B">
        <w:rPr>
          <w:rFonts w:eastAsia="Times New Roman" w:cstheme="minorHAnsi"/>
          <w:color w:val="000000" w:themeColor="text1"/>
          <w:szCs w:val="20"/>
          <w:lang w:eastAsia="de-DE"/>
        </w:rPr>
        <w:t xml:space="preserve"> der Maßnahme bejaht werden kann, um die innere Sicherheit und den Ruf der Schweiz zu schützen. </w:t>
      </w:r>
      <w:r w:rsidR="00370499">
        <w:rPr>
          <w:rFonts w:eastAsia="Times New Roman" w:cstheme="minorHAnsi"/>
          <w:color w:val="000000" w:themeColor="text1"/>
          <w:szCs w:val="20"/>
          <w:lang w:eastAsia="de-DE"/>
        </w:rPr>
        <w:t>Ist</w:t>
      </w:r>
      <w:r w:rsidRPr="0046220B">
        <w:rPr>
          <w:rFonts w:eastAsia="Times New Roman" w:cstheme="minorHAnsi"/>
          <w:color w:val="000000" w:themeColor="text1"/>
          <w:szCs w:val="20"/>
          <w:lang w:eastAsia="de-DE"/>
        </w:rPr>
        <w:t xml:space="preserve"> das Kriterium der Geeignetheit nicht vor</w:t>
      </w:r>
      <w:r w:rsidR="00370499">
        <w:rPr>
          <w:rFonts w:eastAsia="Times New Roman" w:cstheme="minorHAnsi"/>
          <w:color w:val="000000" w:themeColor="text1"/>
          <w:szCs w:val="20"/>
          <w:lang w:eastAsia="de-DE"/>
        </w:rPr>
        <w:t>liegend</w:t>
      </w:r>
      <w:r w:rsidRPr="0046220B">
        <w:rPr>
          <w:rFonts w:eastAsia="Times New Roman" w:cstheme="minorHAnsi"/>
          <w:color w:val="000000" w:themeColor="text1"/>
          <w:szCs w:val="20"/>
          <w:lang w:eastAsia="de-DE"/>
        </w:rPr>
        <w:t>, so ver</w:t>
      </w:r>
      <w:r w:rsidR="00370499">
        <w:rPr>
          <w:rFonts w:eastAsia="Times New Roman" w:cstheme="minorHAnsi"/>
          <w:color w:val="000000" w:themeColor="text1"/>
          <w:szCs w:val="20"/>
          <w:lang w:eastAsia="de-DE"/>
        </w:rPr>
        <w:t>liert</w:t>
      </w:r>
      <w:r w:rsidRPr="0046220B">
        <w:rPr>
          <w:rFonts w:eastAsia="Times New Roman" w:cstheme="minorHAnsi"/>
          <w:color w:val="000000" w:themeColor="text1"/>
          <w:szCs w:val="20"/>
          <w:lang w:eastAsia="de-DE"/>
        </w:rPr>
        <w:t xml:space="preserve"> der Bürgerrechtsentzug als grundrechtseinschränkende Maßnahme seine Legitimation.</w:t>
      </w:r>
    </w:p>
    <w:p w14:paraId="7E8579AD" w14:textId="7EF45B43" w:rsidR="003C268C" w:rsidRPr="0046220B" w:rsidRDefault="003C268C" w:rsidP="003C268C">
      <w:pPr>
        <w:spacing w:before="120" w:line="276" w:lineRule="auto"/>
        <w:jc w:val="both"/>
        <w:rPr>
          <w:rFonts w:eastAsia="Times New Roman" w:cstheme="minorHAnsi"/>
          <w:color w:val="000000" w:themeColor="text1"/>
          <w:szCs w:val="20"/>
          <w:lang w:eastAsia="de-DE"/>
        </w:rPr>
      </w:pPr>
      <w:r w:rsidRPr="0046220B">
        <w:rPr>
          <w:rFonts w:eastAsia="Times New Roman" w:cstheme="minorHAnsi"/>
          <w:color w:val="000000" w:themeColor="text1"/>
          <w:szCs w:val="20"/>
          <w:lang w:eastAsia="de-DE"/>
        </w:rPr>
        <w:t xml:space="preserve">Im zweiten Teil des vorliegenden Beitrags wird der Bürgerrechtsentzug aus Perspektive der Extremismusprävention analysiert. Ziel ist es, die </w:t>
      </w:r>
      <w:r w:rsidRPr="0046220B">
        <w:rPr>
          <w:rFonts w:eastAsia="Times New Roman" w:cstheme="minorHAnsi"/>
          <w:i/>
          <w:iCs/>
          <w:color w:val="000000" w:themeColor="text1"/>
          <w:szCs w:val="20"/>
          <w:lang w:eastAsia="de-DE"/>
        </w:rPr>
        <w:t>Geeignetheit</w:t>
      </w:r>
      <w:r w:rsidRPr="0046220B">
        <w:rPr>
          <w:rFonts w:eastAsia="Times New Roman" w:cstheme="minorHAnsi"/>
          <w:color w:val="000000" w:themeColor="text1"/>
          <w:szCs w:val="20"/>
          <w:lang w:eastAsia="de-DE"/>
        </w:rPr>
        <w:t xml:space="preserve"> der Maßnahme zu überprüfen, indem die präventiven Auswirkungen der Ausbürgerung extremistischer und/oder radikalisierter </w:t>
      </w:r>
      <w:proofErr w:type="gramStart"/>
      <w:r w:rsidRPr="0046220B">
        <w:rPr>
          <w:rFonts w:eastAsia="Times New Roman" w:cstheme="minorHAnsi"/>
          <w:color w:val="000000" w:themeColor="text1"/>
          <w:szCs w:val="20"/>
          <w:lang w:eastAsia="de-DE"/>
        </w:rPr>
        <w:t>Straftäter:innen</w:t>
      </w:r>
      <w:proofErr w:type="gramEnd"/>
      <w:r w:rsidRPr="0046220B">
        <w:rPr>
          <w:rFonts w:eastAsia="Times New Roman" w:cstheme="minorHAnsi"/>
          <w:color w:val="000000" w:themeColor="text1"/>
          <w:szCs w:val="20"/>
          <w:lang w:eastAsia="de-DE"/>
        </w:rPr>
        <w:t xml:space="preserve"> analysiert werden. Überprüft wird, ob und unter welchen Umständen der Entzug des Bürgerrechts ein effizientes und geeignetes Mittel der Extremismusprävention ist. Dazu wird in einem ersten Schritt der Präventionsbegriff erläutert und die Wirkungsmechanismen des Bürgerrechtsentzugs werden analysiert. Hierbei stehen die gefühlte Diskriminierung, das Spannungsfeld zwischen Sicherheit und Präventionsgrundsätzen, der prekäre Status nach Bürgerrechtsentzug und die Verantwortung der Staatengemeinschaft im Mittelpunkt. </w:t>
      </w:r>
      <w:r w:rsidR="00786D85" w:rsidRPr="0046220B">
        <w:rPr>
          <w:rFonts w:eastAsia="Times New Roman" w:cstheme="minorHAnsi"/>
          <w:color w:val="000000" w:themeColor="text1"/>
          <w:szCs w:val="20"/>
          <w:lang w:eastAsia="de-DE"/>
        </w:rPr>
        <w:t>Abschließend</w:t>
      </w:r>
      <w:r w:rsidRPr="0046220B">
        <w:rPr>
          <w:rFonts w:eastAsia="Times New Roman" w:cstheme="minorHAnsi"/>
          <w:color w:val="000000" w:themeColor="text1"/>
          <w:szCs w:val="20"/>
          <w:lang w:eastAsia="de-DE"/>
        </w:rPr>
        <w:t xml:space="preserve"> werden Alternativen zum Bürgerrechtsentzug aus Präventionsperspektive illustriert und diskutiert.</w:t>
      </w:r>
      <w:bookmarkStart w:id="43" w:name="_Toc167286405"/>
    </w:p>
    <w:p w14:paraId="6199D1B7" w14:textId="508F1076" w:rsidR="003C268C" w:rsidRPr="0046220B" w:rsidRDefault="003C268C" w:rsidP="003C268C">
      <w:pPr>
        <w:spacing w:before="120" w:line="276" w:lineRule="auto"/>
        <w:jc w:val="both"/>
        <w:rPr>
          <w:rFonts w:eastAsia="Times New Roman" w:cstheme="minorHAnsi"/>
          <w:color w:val="000000" w:themeColor="text1"/>
          <w:szCs w:val="20"/>
          <w:lang w:eastAsia="de-DE"/>
        </w:rPr>
      </w:pPr>
      <w:r w:rsidRPr="0046220B">
        <w:rPr>
          <w:rFonts w:eastAsia="Times New Roman" w:cstheme="minorHAnsi"/>
          <w:color w:val="000000" w:themeColor="text1"/>
          <w:szCs w:val="20"/>
          <w:lang w:eastAsia="de-DE"/>
        </w:rPr>
        <w:t xml:space="preserve">In den vorangehenden Darlegungen konzentrierte sich der Beitrag auf </w:t>
      </w:r>
      <w:proofErr w:type="gramStart"/>
      <w:r w:rsidRPr="0046220B">
        <w:rPr>
          <w:rFonts w:eastAsia="Times New Roman" w:cstheme="minorHAnsi"/>
          <w:color w:val="000000" w:themeColor="text1"/>
          <w:szCs w:val="20"/>
          <w:lang w:eastAsia="de-DE"/>
        </w:rPr>
        <w:t>Täter:innen</w:t>
      </w:r>
      <w:proofErr w:type="gramEnd"/>
      <w:r w:rsidRPr="0046220B">
        <w:rPr>
          <w:rFonts w:eastAsia="Times New Roman" w:cstheme="minorHAnsi"/>
          <w:color w:val="000000" w:themeColor="text1"/>
          <w:szCs w:val="20"/>
          <w:lang w:eastAsia="de-DE"/>
        </w:rPr>
        <w:t xml:space="preserve">, die wegen ihrer von einer extremistischen und/oder radikalen Ideologie geprägten Straftaten verurteilt wurden. Mit Blick auf die Prävention </w:t>
      </w:r>
      <w:r w:rsidR="00370499">
        <w:rPr>
          <w:rFonts w:eastAsia="Times New Roman" w:cstheme="minorHAnsi"/>
          <w:color w:val="000000" w:themeColor="text1"/>
          <w:szCs w:val="20"/>
          <w:lang w:eastAsia="de-DE"/>
        </w:rPr>
        <w:t>geraten</w:t>
      </w:r>
      <w:r w:rsidR="00370499" w:rsidRPr="0046220B">
        <w:rPr>
          <w:rFonts w:eastAsia="Times New Roman" w:cstheme="minorHAnsi"/>
          <w:color w:val="000000" w:themeColor="text1"/>
          <w:szCs w:val="20"/>
          <w:lang w:eastAsia="de-DE"/>
        </w:rPr>
        <w:t xml:space="preserve"> </w:t>
      </w:r>
      <w:r w:rsidR="00370499">
        <w:rPr>
          <w:rFonts w:eastAsia="Times New Roman" w:cstheme="minorHAnsi"/>
          <w:color w:val="000000" w:themeColor="text1"/>
          <w:szCs w:val="20"/>
          <w:lang w:eastAsia="de-DE"/>
        </w:rPr>
        <w:t xml:space="preserve">die </w:t>
      </w:r>
      <w:proofErr w:type="gramStart"/>
      <w:r w:rsidR="00370499">
        <w:rPr>
          <w:rFonts w:eastAsia="Times New Roman" w:cstheme="minorHAnsi"/>
          <w:color w:val="000000" w:themeColor="text1"/>
          <w:szCs w:val="20"/>
          <w:lang w:eastAsia="de-DE"/>
        </w:rPr>
        <w:t>Rückkehrer:innen</w:t>
      </w:r>
      <w:proofErr w:type="gramEnd"/>
      <w:r w:rsidR="00370499">
        <w:rPr>
          <w:rFonts w:eastAsia="Times New Roman" w:cstheme="minorHAnsi"/>
          <w:color w:val="000000" w:themeColor="text1"/>
          <w:szCs w:val="20"/>
          <w:lang w:eastAsia="de-DE"/>
        </w:rPr>
        <w:t xml:space="preserve"> </w:t>
      </w:r>
      <w:r w:rsidR="00370499" w:rsidRPr="0046220B">
        <w:rPr>
          <w:rFonts w:eastAsia="Times New Roman" w:cstheme="minorHAnsi"/>
          <w:color w:val="000000" w:themeColor="text1"/>
          <w:szCs w:val="20"/>
          <w:lang w:eastAsia="de-DE"/>
        </w:rPr>
        <w:t xml:space="preserve">aus dem sog. </w:t>
      </w:r>
      <w:r w:rsidR="00370499" w:rsidRPr="001674F2">
        <w:rPr>
          <w:rFonts w:eastAsia="Times New Roman" w:cstheme="minorHAnsi"/>
          <w:i/>
          <w:iCs/>
          <w:color w:val="000000" w:themeColor="text1"/>
          <w:szCs w:val="20"/>
          <w:lang w:eastAsia="de-DE"/>
        </w:rPr>
        <w:t>Islamischen Staat</w:t>
      </w:r>
      <w:r w:rsidR="00370499" w:rsidRPr="0046220B">
        <w:rPr>
          <w:rStyle w:val="Funotenzeichen"/>
          <w:rFonts w:eastAsia="Times New Roman" w:cstheme="minorHAnsi"/>
          <w:color w:val="000000" w:themeColor="text1"/>
          <w:szCs w:val="20"/>
          <w:lang w:eastAsia="de-DE"/>
        </w:rPr>
        <w:footnoteReference w:id="27"/>
      </w:r>
      <w:r w:rsidR="00370499" w:rsidRPr="0046220B">
        <w:rPr>
          <w:rFonts w:eastAsia="Times New Roman" w:cstheme="minorHAnsi"/>
          <w:color w:val="000000" w:themeColor="text1"/>
          <w:szCs w:val="20"/>
          <w:lang w:eastAsia="de-DE"/>
        </w:rPr>
        <w:t xml:space="preserve"> </w:t>
      </w:r>
      <w:r w:rsidRPr="0046220B">
        <w:rPr>
          <w:rFonts w:eastAsia="Times New Roman" w:cstheme="minorHAnsi"/>
          <w:color w:val="000000" w:themeColor="text1"/>
          <w:szCs w:val="20"/>
          <w:lang w:eastAsia="de-DE"/>
        </w:rPr>
        <w:t xml:space="preserve">ins Zentrum der Analyse: Die </w:t>
      </w:r>
      <w:proofErr w:type="gramStart"/>
      <w:r w:rsidRPr="0046220B">
        <w:rPr>
          <w:rFonts w:eastAsia="Times New Roman" w:cstheme="minorHAnsi"/>
          <w:color w:val="000000" w:themeColor="text1"/>
          <w:szCs w:val="20"/>
          <w:lang w:eastAsia="de-DE"/>
        </w:rPr>
        <w:t>Rückkehrer:innen</w:t>
      </w:r>
      <w:proofErr w:type="gramEnd"/>
      <w:r w:rsidRPr="0046220B">
        <w:rPr>
          <w:rFonts w:eastAsia="Times New Roman" w:cstheme="minorHAnsi"/>
          <w:color w:val="000000" w:themeColor="text1"/>
          <w:szCs w:val="20"/>
          <w:lang w:eastAsia="de-DE"/>
        </w:rPr>
        <w:t xml:space="preserve"> Diese Personengruppe ist insbesondere im deutschen Kontext praxisrelevant.</w:t>
      </w:r>
    </w:p>
    <w:p w14:paraId="650F3AA9" w14:textId="4E70C569" w:rsidR="003C268C" w:rsidRPr="0046220B" w:rsidRDefault="003C268C" w:rsidP="003C268C">
      <w:pPr>
        <w:spacing w:before="120" w:line="276" w:lineRule="auto"/>
        <w:jc w:val="both"/>
        <w:rPr>
          <w:rFonts w:eastAsia="Times New Roman" w:cstheme="minorHAnsi"/>
          <w:color w:val="000000" w:themeColor="text1"/>
          <w:szCs w:val="20"/>
          <w:lang w:eastAsia="de-DE"/>
        </w:rPr>
      </w:pPr>
      <w:r w:rsidRPr="0046220B">
        <w:rPr>
          <w:rFonts w:eastAsia="Times New Roman" w:cstheme="minorHAnsi"/>
          <w:color w:val="000000" w:themeColor="text1"/>
          <w:szCs w:val="20"/>
          <w:lang w:eastAsia="de-DE"/>
        </w:rPr>
        <w:t xml:space="preserve">Der Fokus auf diese spezifische Gruppe gründet in einem unterschiedlichen Umgang der Schweiz und Deutschland mit sogenannten </w:t>
      </w:r>
      <w:proofErr w:type="gramStart"/>
      <w:r w:rsidRPr="0046220B">
        <w:rPr>
          <w:rFonts w:eastAsia="Times New Roman" w:cstheme="minorHAnsi"/>
          <w:color w:val="000000" w:themeColor="text1"/>
          <w:szCs w:val="20"/>
          <w:lang w:eastAsia="de-DE"/>
        </w:rPr>
        <w:t>Rückkehrer:innen</w:t>
      </w:r>
      <w:proofErr w:type="gramEnd"/>
      <w:r w:rsidRPr="0046220B">
        <w:rPr>
          <w:rFonts w:eastAsia="Times New Roman" w:cstheme="minorHAnsi"/>
          <w:color w:val="000000" w:themeColor="text1"/>
          <w:szCs w:val="20"/>
          <w:lang w:eastAsia="de-DE"/>
        </w:rPr>
        <w:t xml:space="preserve">. Bis Dezember 2023 </w:t>
      </w:r>
      <w:r w:rsidR="00370499">
        <w:rPr>
          <w:rFonts w:eastAsia="Times New Roman" w:cstheme="minorHAnsi"/>
          <w:color w:val="000000" w:themeColor="text1"/>
          <w:szCs w:val="20"/>
          <w:lang w:eastAsia="de-DE"/>
        </w:rPr>
        <w:t>kehrten</w:t>
      </w:r>
      <w:r w:rsidRPr="0046220B">
        <w:rPr>
          <w:rFonts w:eastAsia="Times New Roman" w:cstheme="minorHAnsi"/>
          <w:color w:val="000000" w:themeColor="text1"/>
          <w:szCs w:val="20"/>
          <w:lang w:eastAsia="de-DE"/>
        </w:rPr>
        <w:t xml:space="preserve"> von den ausgereisten 1</w:t>
      </w:r>
      <w:r w:rsidR="006C554D">
        <w:rPr>
          <w:rFonts w:eastAsia="Times New Roman" w:cstheme="minorHAnsi"/>
          <w:color w:val="000000" w:themeColor="text1"/>
          <w:szCs w:val="20"/>
          <w:lang w:eastAsia="de-DE"/>
        </w:rPr>
        <w:t>.</w:t>
      </w:r>
      <w:r w:rsidRPr="0046220B">
        <w:rPr>
          <w:rFonts w:eastAsia="Times New Roman" w:cstheme="minorHAnsi"/>
          <w:color w:val="000000" w:themeColor="text1"/>
          <w:szCs w:val="20"/>
          <w:lang w:eastAsia="de-DE"/>
        </w:rPr>
        <w:t xml:space="preserve">150 Personen </w:t>
      </w:r>
      <w:r w:rsidR="006E503A">
        <w:rPr>
          <w:rFonts w:eastAsia="Times New Roman" w:cstheme="minorHAnsi"/>
          <w:color w:val="000000" w:themeColor="text1"/>
          <w:szCs w:val="20"/>
          <w:lang w:eastAsia="de-DE"/>
        </w:rPr>
        <w:t>insgesamt</w:t>
      </w:r>
      <w:r w:rsidR="006E503A" w:rsidRPr="0046220B">
        <w:rPr>
          <w:rFonts w:eastAsia="Times New Roman" w:cstheme="minorHAnsi"/>
          <w:color w:val="000000" w:themeColor="text1"/>
          <w:szCs w:val="20"/>
          <w:lang w:eastAsia="de-DE"/>
        </w:rPr>
        <w:t xml:space="preserve"> </w:t>
      </w:r>
      <w:r w:rsidRPr="0046220B">
        <w:rPr>
          <w:rFonts w:eastAsia="Times New Roman" w:cstheme="minorHAnsi"/>
          <w:color w:val="000000" w:themeColor="text1"/>
          <w:szCs w:val="20"/>
          <w:lang w:eastAsia="de-DE"/>
        </w:rPr>
        <w:t>312 Personen nach Deutschland zurück (vgl. Deutscher Bundestag: 3). Deutschland</w:t>
      </w:r>
      <w:r w:rsidR="00370499">
        <w:rPr>
          <w:rFonts w:eastAsia="Times New Roman" w:cstheme="minorHAnsi"/>
          <w:color w:val="000000" w:themeColor="text1"/>
          <w:szCs w:val="20"/>
          <w:lang w:eastAsia="de-DE"/>
        </w:rPr>
        <w:t xml:space="preserve"> holte</w:t>
      </w:r>
      <w:r w:rsidRPr="0046220B">
        <w:rPr>
          <w:rFonts w:eastAsia="Times New Roman" w:cstheme="minorHAnsi"/>
          <w:color w:val="000000" w:themeColor="text1"/>
          <w:szCs w:val="20"/>
          <w:lang w:eastAsia="de-DE"/>
        </w:rPr>
        <w:t xml:space="preserve"> davon in den Jahren 2019 bis 2022 108 Personen (80 Minderjährige, 27 Frauen und </w:t>
      </w:r>
      <w:r w:rsidRPr="0046220B">
        <w:rPr>
          <w:rFonts w:eastAsia="Times New Roman" w:cstheme="minorHAnsi"/>
          <w:color w:val="000000" w:themeColor="text1"/>
          <w:szCs w:val="20"/>
          <w:lang w:eastAsia="de-DE"/>
        </w:rPr>
        <w:lastRenderedPageBreak/>
        <w:t xml:space="preserve">einen Mann) aktiv aus dem Kriegsgebiet in Nordsyrien nach Deutschland zurück. 111 Personen wurden für </w:t>
      </w:r>
      <w:r w:rsidR="006E503A">
        <w:rPr>
          <w:rFonts w:eastAsia="Times New Roman" w:cstheme="minorHAnsi"/>
          <w:color w:val="000000" w:themeColor="text1"/>
          <w:szCs w:val="20"/>
          <w:lang w:eastAsia="de-DE"/>
        </w:rPr>
        <w:t>i</w:t>
      </w:r>
      <w:r w:rsidRPr="0046220B">
        <w:rPr>
          <w:rFonts w:eastAsia="Times New Roman" w:cstheme="minorHAnsi"/>
          <w:color w:val="000000" w:themeColor="text1"/>
          <w:szCs w:val="20"/>
          <w:lang w:eastAsia="de-DE"/>
        </w:rPr>
        <w:t xml:space="preserve">hre Taten gerichtlich verurteilt, bei 119 Personen steht ein Gerichtsurteil aus und bei 122 wurde das Verfahren eingestellt (vgl. Koller 2024). Diese in Deutschland verurteilten </w:t>
      </w:r>
      <w:proofErr w:type="gramStart"/>
      <w:r w:rsidRPr="0046220B">
        <w:rPr>
          <w:rFonts w:eastAsia="Times New Roman" w:cstheme="minorHAnsi"/>
          <w:color w:val="000000" w:themeColor="text1"/>
          <w:szCs w:val="20"/>
          <w:lang w:eastAsia="de-DE"/>
        </w:rPr>
        <w:t>Straftäter:innen</w:t>
      </w:r>
      <w:proofErr w:type="gramEnd"/>
      <w:r w:rsidRPr="0046220B">
        <w:rPr>
          <w:rFonts w:eastAsia="Times New Roman" w:cstheme="minorHAnsi"/>
          <w:color w:val="000000" w:themeColor="text1"/>
          <w:szCs w:val="20"/>
          <w:lang w:eastAsia="de-DE"/>
        </w:rPr>
        <w:t xml:space="preserve"> wären zwar wie in Kap</w:t>
      </w:r>
      <w:r w:rsidR="00AF2202">
        <w:rPr>
          <w:rFonts w:eastAsia="Times New Roman" w:cstheme="minorHAnsi"/>
          <w:color w:val="000000" w:themeColor="text1"/>
          <w:szCs w:val="20"/>
          <w:lang w:eastAsia="de-DE"/>
        </w:rPr>
        <w:t>itel</w:t>
      </w:r>
      <w:r w:rsidRPr="0046220B">
        <w:rPr>
          <w:rFonts w:eastAsia="Times New Roman" w:cstheme="minorHAnsi"/>
          <w:color w:val="000000" w:themeColor="text1"/>
          <w:szCs w:val="20"/>
          <w:lang w:eastAsia="de-DE"/>
        </w:rPr>
        <w:t xml:space="preserve"> 3.2.3 dargelegt nicht von einem Bürgerrechtsentzug betroffen, da sie vor August 2018 aus Deutschland aus</w:t>
      </w:r>
      <w:r w:rsidR="00AF2202">
        <w:rPr>
          <w:rFonts w:eastAsia="Times New Roman" w:cstheme="minorHAnsi"/>
          <w:color w:val="000000" w:themeColor="text1"/>
          <w:szCs w:val="20"/>
          <w:lang w:eastAsia="de-DE"/>
        </w:rPr>
        <w:t>ge</w:t>
      </w:r>
      <w:r w:rsidRPr="0046220B">
        <w:rPr>
          <w:rFonts w:eastAsia="Times New Roman" w:cstheme="minorHAnsi"/>
          <w:color w:val="000000" w:themeColor="text1"/>
          <w:szCs w:val="20"/>
          <w:lang w:eastAsia="de-DE"/>
        </w:rPr>
        <w:t>reist</w:t>
      </w:r>
      <w:r w:rsidR="00AF2202">
        <w:rPr>
          <w:rFonts w:eastAsia="Times New Roman" w:cstheme="minorHAnsi"/>
          <w:color w:val="000000" w:themeColor="text1"/>
          <w:szCs w:val="20"/>
          <w:lang w:eastAsia="de-DE"/>
        </w:rPr>
        <w:t xml:space="preserve"> </w:t>
      </w:r>
      <w:r w:rsidR="00370499">
        <w:rPr>
          <w:rFonts w:eastAsia="Times New Roman" w:cstheme="minorHAnsi"/>
          <w:color w:val="000000" w:themeColor="text1"/>
          <w:szCs w:val="20"/>
          <w:lang w:eastAsia="de-DE"/>
        </w:rPr>
        <w:t>waren</w:t>
      </w:r>
      <w:r w:rsidR="00370499" w:rsidRPr="0046220B">
        <w:rPr>
          <w:rFonts w:eastAsia="Times New Roman" w:cstheme="minorHAnsi"/>
          <w:color w:val="000000" w:themeColor="text1"/>
          <w:szCs w:val="20"/>
          <w:lang w:eastAsia="de-DE"/>
        </w:rPr>
        <w:t xml:space="preserve"> </w:t>
      </w:r>
      <w:r w:rsidRPr="0046220B">
        <w:rPr>
          <w:rFonts w:eastAsia="Times New Roman" w:cstheme="minorHAnsi"/>
          <w:color w:val="000000" w:themeColor="text1"/>
          <w:szCs w:val="20"/>
          <w:lang w:eastAsia="de-DE"/>
        </w:rPr>
        <w:t xml:space="preserve">(vgl. Bolhuis, van Wijk 2020: 344). Grundsätzlich ist es aber denkbar, dass der Bürgerrechtsentzug zukünftig auch in Deutschland </w:t>
      </w:r>
      <w:r w:rsidR="00370499">
        <w:rPr>
          <w:rFonts w:eastAsia="Times New Roman" w:cstheme="minorHAnsi"/>
          <w:color w:val="000000" w:themeColor="text1"/>
          <w:szCs w:val="20"/>
          <w:lang w:eastAsia="de-DE"/>
        </w:rPr>
        <w:t xml:space="preserve">auf </w:t>
      </w:r>
      <w:proofErr w:type="gramStart"/>
      <w:r w:rsidRPr="0046220B">
        <w:rPr>
          <w:rFonts w:eastAsia="Times New Roman" w:cstheme="minorHAnsi"/>
          <w:color w:val="000000" w:themeColor="text1"/>
          <w:szCs w:val="20"/>
          <w:lang w:eastAsia="de-DE"/>
        </w:rPr>
        <w:t>Rückkehrer:innen</w:t>
      </w:r>
      <w:proofErr w:type="gramEnd"/>
      <w:r w:rsidRPr="0046220B">
        <w:rPr>
          <w:rFonts w:eastAsia="Times New Roman" w:cstheme="minorHAnsi"/>
          <w:color w:val="000000" w:themeColor="text1"/>
          <w:szCs w:val="20"/>
          <w:lang w:eastAsia="de-DE"/>
        </w:rPr>
        <w:t xml:space="preserve"> Anwendung finden kann. Im Vergleich zu den systematischen Rückführungen von Frauen und Kindern aus dem sog. </w:t>
      </w:r>
      <w:r w:rsidRPr="001674F2">
        <w:rPr>
          <w:rFonts w:eastAsia="Times New Roman" w:cstheme="minorHAnsi"/>
          <w:i/>
          <w:iCs/>
          <w:color w:val="000000" w:themeColor="text1"/>
          <w:szCs w:val="20"/>
          <w:lang w:eastAsia="de-DE"/>
        </w:rPr>
        <w:t>Islamischen Staat</w:t>
      </w:r>
      <w:r w:rsidRPr="0046220B">
        <w:rPr>
          <w:rFonts w:eastAsia="Times New Roman" w:cstheme="minorHAnsi"/>
          <w:color w:val="000000" w:themeColor="text1"/>
          <w:szCs w:val="20"/>
          <w:lang w:eastAsia="de-DE"/>
        </w:rPr>
        <w:t xml:space="preserve"> nach Deutschland hat sich die Schweiz gegen die Rückführung erwachsener </w:t>
      </w:r>
      <w:proofErr w:type="gramStart"/>
      <w:r w:rsidRPr="0046220B">
        <w:rPr>
          <w:rFonts w:eastAsia="Times New Roman" w:cstheme="minorHAnsi"/>
          <w:color w:val="000000" w:themeColor="text1"/>
          <w:szCs w:val="20"/>
          <w:lang w:eastAsia="de-DE"/>
        </w:rPr>
        <w:t>Kämpfer:innen</w:t>
      </w:r>
      <w:proofErr w:type="gramEnd"/>
      <w:r w:rsidRPr="0046220B">
        <w:rPr>
          <w:rFonts w:eastAsia="Times New Roman" w:cstheme="minorHAnsi"/>
          <w:color w:val="000000" w:themeColor="text1"/>
          <w:szCs w:val="20"/>
          <w:lang w:eastAsia="de-DE"/>
        </w:rPr>
        <w:t xml:space="preserve"> entschieden. Die Schweiz lässt lediglich die Rück</w:t>
      </w:r>
      <w:r w:rsidR="005F5397">
        <w:rPr>
          <w:rFonts w:eastAsia="Times New Roman" w:cstheme="minorHAnsi"/>
          <w:color w:val="000000" w:themeColor="text1"/>
          <w:szCs w:val="20"/>
          <w:lang w:eastAsia="de-DE"/>
        </w:rPr>
        <w:t>führung</w:t>
      </w:r>
      <w:r w:rsidRPr="0046220B">
        <w:rPr>
          <w:rFonts w:eastAsia="Times New Roman" w:cstheme="minorHAnsi"/>
          <w:color w:val="000000" w:themeColor="text1"/>
          <w:szCs w:val="20"/>
          <w:lang w:eastAsia="de-DE"/>
        </w:rPr>
        <w:t xml:space="preserve"> minderjähriger Personen in die Schweiz zu (vgl. Bundesrat 2019).</w:t>
      </w:r>
    </w:p>
    <w:p w14:paraId="144A55CA" w14:textId="77777777" w:rsidR="003C268C" w:rsidRPr="0046220B" w:rsidRDefault="003C268C" w:rsidP="003C268C">
      <w:pPr>
        <w:spacing w:before="120" w:line="276" w:lineRule="auto"/>
        <w:jc w:val="both"/>
        <w:rPr>
          <w:rFonts w:eastAsia="Times New Roman" w:cstheme="minorHAnsi"/>
          <w:color w:val="000000" w:themeColor="text1"/>
          <w:szCs w:val="20"/>
          <w:lang w:eastAsia="de-DE"/>
        </w:rPr>
      </w:pPr>
      <w:r w:rsidRPr="0046220B">
        <w:rPr>
          <w:rFonts w:eastAsia="Times New Roman" w:cstheme="minorHAnsi"/>
          <w:color w:val="000000" w:themeColor="text1"/>
          <w:szCs w:val="20"/>
          <w:lang w:eastAsia="de-DE"/>
        </w:rPr>
        <w:t xml:space="preserve">Der Bürgerrechtsentzug wurde bisher im deutschsprachigen Raum wissenschaftlich insbesondere aus juristischer Perspektive analysiert. Zu den Auswirkungen dieser Maßnahme auf die Extremismusprävention in der Praxis und in der (sozial-)pädagogischen Arbeit mit extremistischen und/oder radikalisierten </w:t>
      </w:r>
      <w:proofErr w:type="gramStart"/>
      <w:r w:rsidRPr="0046220B">
        <w:rPr>
          <w:rFonts w:eastAsia="Times New Roman" w:cstheme="minorHAnsi"/>
          <w:color w:val="000000" w:themeColor="text1"/>
          <w:szCs w:val="20"/>
          <w:lang w:eastAsia="de-DE"/>
        </w:rPr>
        <w:t>Straftäter:innen</w:t>
      </w:r>
      <w:proofErr w:type="gramEnd"/>
      <w:r w:rsidRPr="0046220B">
        <w:rPr>
          <w:rFonts w:eastAsia="Times New Roman" w:cstheme="minorHAnsi"/>
          <w:color w:val="000000" w:themeColor="text1"/>
          <w:szCs w:val="20"/>
          <w:lang w:eastAsia="de-DE"/>
        </w:rPr>
        <w:t xml:space="preserve"> liegen kaum Erkenntnisse vor. Der vorliegende Beitrag trägt dazu bei, diese Lücke zu schließen.</w:t>
      </w:r>
    </w:p>
    <w:p w14:paraId="02C9EB8C" w14:textId="6A0078F2" w:rsidR="003C268C" w:rsidRPr="0046220B" w:rsidRDefault="009F5912" w:rsidP="009F5912">
      <w:pPr>
        <w:pStyle w:val="2Ebene"/>
      </w:pPr>
      <w:bookmarkStart w:id="44" w:name="_Toc167538178"/>
      <w:bookmarkStart w:id="45" w:name="_Toc168494906"/>
      <w:bookmarkStart w:id="46" w:name="_Toc188272775"/>
      <w:bookmarkStart w:id="47" w:name="_Toc195609710"/>
      <w:r>
        <w:t xml:space="preserve">4.2 </w:t>
      </w:r>
      <w:r w:rsidR="003C268C" w:rsidRPr="0046220B">
        <w:t>Zum Prävention</w:t>
      </w:r>
      <w:bookmarkEnd w:id="44"/>
      <w:r w:rsidR="003C268C" w:rsidRPr="0046220B">
        <w:t>sbegriff</w:t>
      </w:r>
      <w:bookmarkEnd w:id="45"/>
      <w:bookmarkEnd w:id="46"/>
      <w:bookmarkEnd w:id="47"/>
    </w:p>
    <w:p w14:paraId="175E0013" w14:textId="57522C61" w:rsidR="003C268C" w:rsidRPr="0046220B" w:rsidRDefault="003C268C" w:rsidP="003C268C">
      <w:pPr>
        <w:spacing w:before="120" w:line="276" w:lineRule="auto"/>
        <w:jc w:val="both"/>
        <w:rPr>
          <w:rFonts w:eastAsia="Times New Roman" w:cstheme="minorHAnsi"/>
          <w:color w:val="000000" w:themeColor="text1"/>
          <w:szCs w:val="20"/>
          <w:lang w:eastAsia="de-DE"/>
        </w:rPr>
      </w:pPr>
      <w:r w:rsidRPr="0046220B">
        <w:rPr>
          <w:rFonts w:eastAsia="Times New Roman" w:cstheme="minorHAnsi"/>
          <w:color w:val="000000" w:themeColor="text1"/>
          <w:szCs w:val="20"/>
          <w:lang w:eastAsia="de-DE"/>
        </w:rPr>
        <w:t xml:space="preserve">Die Radikalisierungsprävention zielt auf die Verhinderung – und Unterbrechung – von Radikalisierungsprozessen. Art. 42 BüG setzt für den </w:t>
      </w:r>
      <w:r w:rsidR="00786D85" w:rsidRPr="0046220B">
        <w:rPr>
          <w:rFonts w:eastAsia="Times New Roman" w:cstheme="minorHAnsi"/>
          <w:color w:val="000000" w:themeColor="text1"/>
          <w:szCs w:val="20"/>
          <w:lang w:eastAsia="de-DE"/>
        </w:rPr>
        <w:t>rechtmäßigen</w:t>
      </w:r>
      <w:r w:rsidRPr="0046220B">
        <w:rPr>
          <w:rFonts w:eastAsia="Times New Roman" w:cstheme="minorHAnsi"/>
          <w:color w:val="000000" w:themeColor="text1"/>
          <w:szCs w:val="20"/>
          <w:lang w:eastAsia="de-DE"/>
        </w:rPr>
        <w:t xml:space="preserve"> Entzug des Bürgerrechts eine rechtskräftige Verurteilung der betroffenen Person voraus. Durch die begangenen Straftaten ist davon auszugehen, dass der Radikalisierungsverlauf der </w:t>
      </w:r>
      <w:proofErr w:type="gramStart"/>
      <w:r w:rsidRPr="0046220B">
        <w:rPr>
          <w:rFonts w:eastAsia="Times New Roman" w:cstheme="minorHAnsi"/>
          <w:color w:val="000000" w:themeColor="text1"/>
          <w:szCs w:val="20"/>
          <w:lang w:eastAsia="de-DE"/>
        </w:rPr>
        <w:t>Täter:innen</w:t>
      </w:r>
      <w:proofErr w:type="gramEnd"/>
      <w:r w:rsidRPr="0046220B">
        <w:rPr>
          <w:rFonts w:eastAsia="Times New Roman" w:cstheme="minorHAnsi"/>
          <w:color w:val="000000" w:themeColor="text1"/>
          <w:szCs w:val="20"/>
          <w:lang w:eastAsia="de-DE"/>
        </w:rPr>
        <w:t xml:space="preserve"> in diesen Fallkonstellationen weit fortgeschritten ist.</w:t>
      </w:r>
    </w:p>
    <w:p w14:paraId="0C35A4CF" w14:textId="77777777" w:rsidR="003C268C" w:rsidRPr="0046220B" w:rsidRDefault="003C268C" w:rsidP="003C268C">
      <w:pPr>
        <w:spacing w:before="120" w:line="276" w:lineRule="auto"/>
        <w:jc w:val="both"/>
        <w:rPr>
          <w:rFonts w:eastAsia="Times New Roman" w:cstheme="minorHAnsi"/>
          <w:color w:val="000000" w:themeColor="text1"/>
          <w:szCs w:val="20"/>
          <w:lang w:eastAsia="de-DE"/>
        </w:rPr>
      </w:pPr>
      <w:r w:rsidRPr="0046220B">
        <w:rPr>
          <w:rFonts w:eastAsia="Times New Roman" w:cstheme="minorHAnsi"/>
          <w:color w:val="000000" w:themeColor="text1"/>
          <w:szCs w:val="20"/>
          <w:lang w:eastAsia="de-DE"/>
        </w:rPr>
        <w:t xml:space="preserve">Zur begrifflichen Definition von Radikalisierungsprävention besteht keine wissenschaftliche Einigkeit. Unterschiedliche Konzepte und Ansätze ringen im gegenwärtigen Diskurs um Deutungshoheit (vgl. Holthusen et al. zitiert nach Osterwald 2022: 7). Der vorliegende Artikel verwendet den 1964 entwickelten präventionstheoretischen Ansatz des amerikanischen Psychiaters Gerald Caplan. Dieser etablierte sich in den 1960er Jahren überwiegend in den Gesundheitswissenschaften. Die von Caplan entwickelte Präventionstriade unterscheidet Primär-, Sekundär- und Tertiärprävention </w:t>
      </w:r>
      <w:r w:rsidRPr="0046220B">
        <w:rPr>
          <w:rFonts w:cstheme="minorHAnsi"/>
          <w:color w:val="000000" w:themeColor="text1"/>
        </w:rPr>
        <w:t>(vgl. Mafaalani et al., 2016: 3 f.)</w:t>
      </w:r>
      <w:r w:rsidRPr="0046220B">
        <w:rPr>
          <w:rFonts w:eastAsia="Times New Roman" w:cstheme="minorHAnsi"/>
          <w:color w:val="000000" w:themeColor="text1"/>
          <w:szCs w:val="20"/>
          <w:lang w:eastAsia="de-DE"/>
        </w:rPr>
        <w:t>.</w:t>
      </w:r>
      <w:r w:rsidRPr="0046220B">
        <w:rPr>
          <w:rStyle w:val="Funotenzeichen"/>
          <w:rFonts w:eastAsia="Times New Roman" w:cstheme="minorHAnsi"/>
          <w:color w:val="000000" w:themeColor="text1"/>
          <w:szCs w:val="20"/>
          <w:lang w:eastAsia="de-DE"/>
        </w:rPr>
        <w:footnoteReference w:id="28"/>
      </w:r>
    </w:p>
    <w:p w14:paraId="010063C2" w14:textId="067D59E9" w:rsidR="003C268C" w:rsidRPr="0046220B" w:rsidRDefault="003C268C" w:rsidP="003C268C">
      <w:pPr>
        <w:spacing w:line="276" w:lineRule="auto"/>
        <w:jc w:val="both"/>
        <w:rPr>
          <w:rFonts w:cstheme="minorHAnsi"/>
          <w:color w:val="000000" w:themeColor="text1"/>
        </w:rPr>
      </w:pPr>
      <w:r w:rsidRPr="0046220B">
        <w:rPr>
          <w:rFonts w:cstheme="minorHAnsi"/>
          <w:color w:val="000000" w:themeColor="text1"/>
        </w:rPr>
        <w:t xml:space="preserve">Ein Bürgerrechtsentzug kann erst erfolgen, wenn die betroffene Person für eine terroristische Straftat verurteilt wurde. Betrachtet man den Bürgerrechtsentzug als präventive Maßnahme, so würde er sich auf </w:t>
      </w:r>
      <w:r w:rsidR="005F5397">
        <w:rPr>
          <w:rFonts w:cstheme="minorHAnsi"/>
          <w:color w:val="000000" w:themeColor="text1"/>
        </w:rPr>
        <w:t xml:space="preserve">der </w:t>
      </w:r>
      <w:r w:rsidRPr="0046220B">
        <w:rPr>
          <w:rFonts w:cstheme="minorHAnsi"/>
          <w:color w:val="000000" w:themeColor="text1"/>
        </w:rPr>
        <w:t xml:space="preserve">Prozessebene parallel zur Tertiärprävention einordnen lassen. Somit hat die </w:t>
      </w:r>
      <w:r w:rsidR="005F5397">
        <w:rPr>
          <w:rFonts w:cstheme="minorHAnsi"/>
          <w:color w:val="000000" w:themeColor="text1"/>
        </w:rPr>
        <w:t xml:space="preserve">in der Ideologie begründete </w:t>
      </w:r>
      <w:r w:rsidRPr="0046220B">
        <w:rPr>
          <w:rFonts w:cstheme="minorHAnsi"/>
          <w:color w:val="000000" w:themeColor="text1"/>
        </w:rPr>
        <w:t>Gewaltanwendung bereits stattgefunden und die präventive Maßnahme zielt darauf ab, eine Wiederholung der Straftat zu verhindern sowie eine Distanzierung zu begleiten.</w:t>
      </w:r>
      <w:r w:rsidRPr="0046220B">
        <w:rPr>
          <w:rStyle w:val="Funotenzeichen"/>
          <w:rFonts w:cstheme="minorHAnsi"/>
          <w:color w:val="000000" w:themeColor="text1"/>
        </w:rPr>
        <w:footnoteReference w:id="29"/>
      </w:r>
    </w:p>
    <w:p w14:paraId="06FFB2B1" w14:textId="4DFA00D3" w:rsidR="003C268C" w:rsidRPr="0046220B" w:rsidRDefault="003C268C" w:rsidP="003C268C">
      <w:pPr>
        <w:spacing w:before="120" w:line="276" w:lineRule="auto"/>
        <w:jc w:val="both"/>
        <w:rPr>
          <w:rFonts w:eastAsia="Times New Roman" w:cstheme="minorHAnsi"/>
          <w:color w:val="000000" w:themeColor="text1"/>
          <w:szCs w:val="20"/>
          <w:lang w:eastAsia="de-DE"/>
        </w:rPr>
      </w:pPr>
      <w:r w:rsidRPr="0046220B">
        <w:rPr>
          <w:rFonts w:eastAsia="Times New Roman" w:cstheme="minorHAnsi"/>
          <w:color w:val="000000" w:themeColor="text1"/>
          <w:szCs w:val="20"/>
          <w:lang w:eastAsia="de-DE"/>
        </w:rPr>
        <w:t xml:space="preserve">Caplans Präventionstriade vertritt ein breites Präventionsverständnis. Die Intervention, die auch Angebote der Distanzierungsarbeit umfasst, wird als Teil der Prävention mitberücksichtigt. Somit </w:t>
      </w:r>
      <w:r w:rsidRPr="0046220B">
        <w:rPr>
          <w:rFonts w:eastAsia="Times New Roman" w:cstheme="minorHAnsi"/>
          <w:color w:val="000000" w:themeColor="text1"/>
          <w:szCs w:val="20"/>
          <w:lang w:eastAsia="de-DE"/>
        </w:rPr>
        <w:lastRenderedPageBreak/>
        <w:t>gelten auch Maßnahmen für Personen mit weit fortgeschrittenen Radikalisierungsverläufen als Prävention. Folglich differenziert Caplan nicht eindeutig zwischen Präventions- und Interventionsma</w:t>
      </w:r>
      <w:r w:rsidR="00786D85" w:rsidRPr="0046220B">
        <w:rPr>
          <w:rFonts w:eastAsia="Times New Roman" w:cstheme="minorHAnsi"/>
          <w:color w:val="000000" w:themeColor="text1"/>
          <w:szCs w:val="20"/>
          <w:lang w:eastAsia="de-DE"/>
        </w:rPr>
        <w:t>ß</w:t>
      </w:r>
      <w:r w:rsidRPr="0046220B">
        <w:rPr>
          <w:rFonts w:eastAsia="Times New Roman" w:cstheme="minorHAnsi"/>
          <w:color w:val="000000" w:themeColor="text1"/>
          <w:szCs w:val="20"/>
          <w:lang w:eastAsia="de-DE"/>
        </w:rPr>
        <w:t>nahmen. Dieses breite Präventionsverständnis wird im wissenschaftlichen Diskurs häufig kritisiert (vgl. Greuel 2020). Für den vorliegenden Beitrag ist es allerdings geeignet, da der Bürgerrechtsentzug als Maßnahme erst bei fortgeschrittenem Radikalisierungsverlauf ergriffen werden kann und folglich im Kontext der Tertiärprävention resp. Intervention zu verorten ist.</w:t>
      </w:r>
    </w:p>
    <w:p w14:paraId="1A76E009" w14:textId="60CC38D8" w:rsidR="003C268C" w:rsidRPr="0046220B" w:rsidRDefault="003C268C" w:rsidP="003C268C">
      <w:pPr>
        <w:spacing w:before="120" w:line="276" w:lineRule="auto"/>
        <w:jc w:val="both"/>
        <w:rPr>
          <w:rFonts w:eastAsia="Times New Roman" w:cstheme="minorHAnsi"/>
          <w:color w:val="000000" w:themeColor="text1"/>
          <w:szCs w:val="20"/>
          <w:lang w:eastAsia="de-DE"/>
        </w:rPr>
      </w:pPr>
      <w:r w:rsidRPr="0046220B">
        <w:rPr>
          <w:rFonts w:eastAsia="Times New Roman" w:cstheme="minorHAnsi"/>
          <w:color w:val="000000" w:themeColor="text1"/>
          <w:szCs w:val="20"/>
          <w:lang w:eastAsia="de-DE"/>
        </w:rPr>
        <w:t>Überraschenderweise argumentiert das Schweizer Bundesgericht, wie in Kap</w:t>
      </w:r>
      <w:r w:rsidR="00935CEE">
        <w:rPr>
          <w:rFonts w:eastAsia="Times New Roman" w:cstheme="minorHAnsi"/>
          <w:color w:val="000000" w:themeColor="text1"/>
          <w:szCs w:val="20"/>
          <w:lang w:eastAsia="de-DE"/>
        </w:rPr>
        <w:t>itel</w:t>
      </w:r>
      <w:r w:rsidRPr="0046220B">
        <w:rPr>
          <w:rFonts w:eastAsia="Times New Roman" w:cstheme="minorHAnsi"/>
          <w:color w:val="000000" w:themeColor="text1"/>
          <w:szCs w:val="20"/>
          <w:lang w:eastAsia="de-DE"/>
        </w:rPr>
        <w:t xml:space="preserve"> 3.3.3 dargelegt, dass der Bürgerrechtsentzug als staatliche Maßnahme nicht primär der Prävention zukünftiger Straftaten diene, sondern dem Schutz der Neutralität und Souveränität der Schweiz (siehe BGer 1C_457/2021 vom 25. März 2022 E. 7.2). So mag es widersprüchlich scheinen, den Bürgerrechtsentzug als präventive </w:t>
      </w:r>
      <w:r w:rsidR="00786D85" w:rsidRPr="0046220B">
        <w:rPr>
          <w:rFonts w:eastAsia="Times New Roman" w:cstheme="minorHAnsi"/>
          <w:color w:val="000000" w:themeColor="text1"/>
          <w:szCs w:val="20"/>
          <w:lang w:eastAsia="de-DE"/>
        </w:rPr>
        <w:t>Maßnahme</w:t>
      </w:r>
      <w:r w:rsidRPr="0046220B">
        <w:rPr>
          <w:rFonts w:eastAsia="Times New Roman" w:cstheme="minorHAnsi"/>
          <w:color w:val="000000" w:themeColor="text1"/>
          <w:szCs w:val="20"/>
          <w:lang w:eastAsia="de-DE"/>
        </w:rPr>
        <w:t xml:space="preserve"> zu charakterisieren, da dies </w:t>
      </w:r>
      <w:r w:rsidR="00786D85" w:rsidRPr="0046220B">
        <w:rPr>
          <w:rFonts w:eastAsia="Times New Roman" w:cstheme="minorHAnsi"/>
          <w:color w:val="000000" w:themeColor="text1"/>
          <w:szCs w:val="20"/>
          <w:lang w:eastAsia="de-DE"/>
        </w:rPr>
        <w:t>gemäß</w:t>
      </w:r>
      <w:r w:rsidRPr="0046220B">
        <w:rPr>
          <w:rFonts w:eastAsia="Times New Roman" w:cstheme="minorHAnsi"/>
          <w:color w:val="000000" w:themeColor="text1"/>
          <w:szCs w:val="20"/>
          <w:lang w:eastAsia="de-DE"/>
        </w:rPr>
        <w:t xml:space="preserve"> höchstrichterlicher Auslegung kein definiertes Ziel der Maßnahme sei. Die vorangehende juristische Analyse des Bürgerrechtsentzugs kommt allerdings zum Schluss, dass der Bürgerrechtsentzug offensichtlich (auch) den Zweck verfolgt, die Sicherheit der Schweiz zu gewährleisten und ihren guten Ruf zu schützen (vgl. von Rütte 2023: 27). Auch der mediale, wissenschaftliche und politische Diskurs verdeutlichen unmissverständlich, dass der Entzug des Bürgerrechts als staatliche </w:t>
      </w:r>
      <w:r w:rsidR="00786D85" w:rsidRPr="0046220B">
        <w:rPr>
          <w:rFonts w:eastAsia="Times New Roman" w:cstheme="minorHAnsi"/>
          <w:color w:val="000000" w:themeColor="text1"/>
          <w:szCs w:val="20"/>
          <w:lang w:eastAsia="de-DE"/>
        </w:rPr>
        <w:t>Maßnahme</w:t>
      </w:r>
      <w:r w:rsidRPr="0046220B">
        <w:rPr>
          <w:rFonts w:eastAsia="Times New Roman" w:cstheme="minorHAnsi"/>
          <w:color w:val="000000" w:themeColor="text1"/>
          <w:szCs w:val="20"/>
          <w:lang w:eastAsia="de-DE"/>
        </w:rPr>
        <w:t xml:space="preserve"> neben einem repressiven Element – der Schutz der inneren Sicherheit mittels Zwangs – auch ein präventives Werkzeug gegen Extremismus bereitstellt. Aus Perspektive der Radikalisierungsprävention ist es ferner unabdingbar</w:t>
      </w:r>
      <w:r w:rsidR="005F5397">
        <w:rPr>
          <w:rFonts w:eastAsia="Times New Roman" w:cstheme="minorHAnsi"/>
          <w:color w:val="000000" w:themeColor="text1"/>
          <w:szCs w:val="20"/>
          <w:lang w:eastAsia="de-DE"/>
        </w:rPr>
        <w:t>,</w:t>
      </w:r>
      <w:r w:rsidRPr="0046220B">
        <w:rPr>
          <w:rFonts w:eastAsia="Times New Roman" w:cstheme="minorHAnsi"/>
          <w:color w:val="000000" w:themeColor="text1"/>
          <w:szCs w:val="20"/>
          <w:lang w:eastAsia="de-DE"/>
        </w:rPr>
        <w:t xml:space="preserve"> zu analysieren, inwiefern der Bürgerrechtsentzug im Sinne der Abschreckung als präventive Maßnahme eingesetzt wird.</w:t>
      </w:r>
    </w:p>
    <w:p w14:paraId="5D7D6CEE" w14:textId="1E2BB202" w:rsidR="003C268C" w:rsidRPr="0046220B" w:rsidRDefault="009F5912" w:rsidP="009F5912">
      <w:pPr>
        <w:pStyle w:val="2Ebene"/>
      </w:pPr>
      <w:bookmarkStart w:id="48" w:name="_Toc188272776"/>
      <w:bookmarkStart w:id="49" w:name="_Toc195609711"/>
      <w:r>
        <w:t xml:space="preserve">4.3 </w:t>
      </w:r>
      <w:r w:rsidR="003C268C" w:rsidRPr="0046220B">
        <w:t>Exkurs</w:t>
      </w:r>
      <w:r w:rsidR="000E7323">
        <w:t>:</w:t>
      </w:r>
      <w:r w:rsidR="003C268C" w:rsidRPr="0046220B">
        <w:t xml:space="preserve"> </w:t>
      </w:r>
      <w:proofErr w:type="gramStart"/>
      <w:r w:rsidR="003C268C" w:rsidRPr="0046220B">
        <w:t>Kämpfer:innen</w:t>
      </w:r>
      <w:proofErr w:type="gramEnd"/>
      <w:r w:rsidR="003C268C" w:rsidRPr="0046220B">
        <w:t xml:space="preserve"> im sog. </w:t>
      </w:r>
      <w:r w:rsidR="003C268C" w:rsidRPr="001674F2">
        <w:rPr>
          <w:i/>
          <w:iCs/>
        </w:rPr>
        <w:t>Islamischen Staat</w:t>
      </w:r>
      <w:bookmarkEnd w:id="48"/>
      <w:bookmarkEnd w:id="49"/>
    </w:p>
    <w:p w14:paraId="2FC8DCBD" w14:textId="6115ED90" w:rsidR="003C268C" w:rsidRPr="0046220B" w:rsidRDefault="003C268C" w:rsidP="003C268C">
      <w:pPr>
        <w:spacing w:before="120" w:line="276" w:lineRule="auto"/>
        <w:jc w:val="both"/>
        <w:rPr>
          <w:rFonts w:eastAsia="Times New Roman" w:cstheme="minorHAnsi"/>
          <w:color w:val="000000" w:themeColor="text1"/>
          <w:szCs w:val="20"/>
          <w:lang w:eastAsia="de-DE"/>
        </w:rPr>
      </w:pPr>
      <w:r w:rsidRPr="0046220B">
        <w:rPr>
          <w:rFonts w:eastAsia="Times New Roman" w:cstheme="minorHAnsi"/>
          <w:color w:val="000000" w:themeColor="text1"/>
          <w:szCs w:val="20"/>
          <w:lang w:eastAsia="de-DE"/>
        </w:rPr>
        <w:t>Wie in den Ausführungen zum Präventionsbegriff charakterisiert, gibt es diverse Zeitpunkte, zu denen Präventionsma</w:t>
      </w:r>
      <w:r w:rsidR="00786D85" w:rsidRPr="0046220B">
        <w:rPr>
          <w:rFonts w:eastAsia="Times New Roman" w:cstheme="minorHAnsi"/>
          <w:color w:val="000000" w:themeColor="text1"/>
          <w:szCs w:val="20"/>
          <w:lang w:eastAsia="de-DE"/>
        </w:rPr>
        <w:t>ß</w:t>
      </w:r>
      <w:r w:rsidRPr="0046220B">
        <w:rPr>
          <w:rFonts w:eastAsia="Times New Roman" w:cstheme="minorHAnsi"/>
          <w:color w:val="000000" w:themeColor="text1"/>
          <w:szCs w:val="20"/>
          <w:lang w:eastAsia="de-DE"/>
        </w:rPr>
        <w:t xml:space="preserve">nahmen zur Anwendung kommen. Eine spezifische Zielgruppe der Tertiärprävention sind Personen, die im Laufe ihres Radikalisierungsprozesses als </w:t>
      </w:r>
      <w:proofErr w:type="gramStart"/>
      <w:r w:rsidRPr="0046220B">
        <w:rPr>
          <w:rFonts w:eastAsia="Times New Roman" w:cstheme="minorHAnsi"/>
          <w:color w:val="000000" w:themeColor="text1"/>
          <w:szCs w:val="20"/>
          <w:lang w:eastAsia="de-DE"/>
        </w:rPr>
        <w:t>Kämpfer:innen</w:t>
      </w:r>
      <w:proofErr w:type="gramEnd"/>
      <w:r w:rsidRPr="0046220B">
        <w:rPr>
          <w:rFonts w:eastAsia="Times New Roman" w:cstheme="minorHAnsi"/>
          <w:color w:val="000000" w:themeColor="text1"/>
          <w:szCs w:val="20"/>
          <w:lang w:eastAsia="de-DE"/>
        </w:rPr>
        <w:t xml:space="preserve"> in den sog. </w:t>
      </w:r>
      <w:r w:rsidRPr="001674F2">
        <w:rPr>
          <w:rFonts w:eastAsia="Times New Roman" w:cstheme="minorHAnsi"/>
          <w:i/>
          <w:iCs/>
          <w:color w:val="000000" w:themeColor="text1"/>
          <w:szCs w:val="20"/>
          <w:lang w:eastAsia="de-DE"/>
        </w:rPr>
        <w:t>Islamischen Staat</w:t>
      </w:r>
      <w:r w:rsidRPr="0046220B">
        <w:rPr>
          <w:rFonts w:eastAsia="Times New Roman" w:cstheme="minorHAnsi"/>
          <w:color w:val="000000" w:themeColor="text1"/>
          <w:szCs w:val="20"/>
          <w:lang w:eastAsia="de-DE"/>
        </w:rPr>
        <w:t xml:space="preserve"> aus</w:t>
      </w:r>
      <w:r w:rsidR="00882333">
        <w:rPr>
          <w:rFonts w:eastAsia="Times New Roman" w:cstheme="minorHAnsi"/>
          <w:color w:val="000000" w:themeColor="text1"/>
          <w:szCs w:val="20"/>
          <w:lang w:eastAsia="de-DE"/>
        </w:rPr>
        <w:t>ge</w:t>
      </w:r>
      <w:r w:rsidRPr="0046220B">
        <w:rPr>
          <w:rFonts w:eastAsia="Times New Roman" w:cstheme="minorHAnsi"/>
          <w:color w:val="000000" w:themeColor="text1"/>
          <w:szCs w:val="20"/>
          <w:lang w:eastAsia="de-DE"/>
        </w:rPr>
        <w:t>reist</w:t>
      </w:r>
      <w:r w:rsidR="00882333">
        <w:rPr>
          <w:rFonts w:eastAsia="Times New Roman" w:cstheme="minorHAnsi"/>
          <w:color w:val="000000" w:themeColor="text1"/>
          <w:szCs w:val="20"/>
          <w:lang w:eastAsia="de-DE"/>
        </w:rPr>
        <w:t xml:space="preserve"> sind</w:t>
      </w:r>
      <w:r w:rsidRPr="0046220B">
        <w:rPr>
          <w:rFonts w:eastAsia="Times New Roman" w:cstheme="minorHAnsi"/>
          <w:color w:val="000000" w:themeColor="text1"/>
          <w:szCs w:val="20"/>
          <w:lang w:eastAsia="de-DE"/>
        </w:rPr>
        <w:t>. Diese Zielgruppe ist i</w:t>
      </w:r>
      <w:r w:rsidR="005F5397">
        <w:rPr>
          <w:rFonts w:eastAsia="Times New Roman" w:cstheme="minorHAnsi"/>
          <w:color w:val="000000" w:themeColor="text1"/>
          <w:szCs w:val="20"/>
          <w:lang w:eastAsia="de-DE"/>
        </w:rPr>
        <w:t xml:space="preserve">m deutschen </w:t>
      </w:r>
      <w:r w:rsidRPr="0046220B">
        <w:rPr>
          <w:rFonts w:eastAsia="Times New Roman" w:cstheme="minorHAnsi"/>
          <w:color w:val="000000" w:themeColor="text1"/>
          <w:szCs w:val="20"/>
          <w:lang w:eastAsia="de-DE"/>
        </w:rPr>
        <w:t xml:space="preserve">Kontext wichtig und verdient eine eingehendere </w:t>
      </w:r>
      <w:r w:rsidR="005F5397">
        <w:rPr>
          <w:rFonts w:eastAsia="Times New Roman" w:cstheme="minorHAnsi"/>
          <w:color w:val="000000" w:themeColor="text1"/>
          <w:szCs w:val="20"/>
          <w:lang w:eastAsia="de-DE"/>
        </w:rPr>
        <w:t>Betrachtung</w:t>
      </w:r>
      <w:r w:rsidRPr="0046220B">
        <w:rPr>
          <w:rFonts w:eastAsia="Times New Roman" w:cstheme="minorHAnsi"/>
          <w:color w:val="000000" w:themeColor="text1"/>
          <w:szCs w:val="20"/>
          <w:lang w:eastAsia="de-DE"/>
        </w:rPr>
        <w:t xml:space="preserve">. Wie das Fallbeispiel aus der Schweiz verdeutlicht, können Personen, die als </w:t>
      </w:r>
      <w:proofErr w:type="gramStart"/>
      <w:r w:rsidRPr="0046220B">
        <w:rPr>
          <w:rFonts w:eastAsia="Times New Roman" w:cstheme="minorHAnsi"/>
          <w:color w:val="000000" w:themeColor="text1"/>
          <w:szCs w:val="20"/>
          <w:lang w:eastAsia="de-DE"/>
        </w:rPr>
        <w:t>Kämpfer:innen</w:t>
      </w:r>
      <w:proofErr w:type="gramEnd"/>
      <w:r w:rsidRPr="0046220B">
        <w:rPr>
          <w:rFonts w:eastAsia="Times New Roman" w:cstheme="minorHAnsi"/>
          <w:color w:val="000000" w:themeColor="text1"/>
          <w:szCs w:val="20"/>
          <w:lang w:eastAsia="de-DE"/>
        </w:rPr>
        <w:t xml:space="preserve"> illegal in Kriegsgebiete ausgereist sind, von einem Bürgerrechtsentzug betroffen sein.</w:t>
      </w:r>
      <w:r w:rsidRPr="0046220B">
        <w:rPr>
          <w:rStyle w:val="Funotenzeichen"/>
          <w:rFonts w:eastAsia="Times New Roman" w:cstheme="minorHAnsi"/>
          <w:color w:val="000000" w:themeColor="text1"/>
          <w:szCs w:val="20"/>
          <w:lang w:eastAsia="de-DE"/>
        </w:rPr>
        <w:footnoteReference w:id="30"/>
      </w:r>
    </w:p>
    <w:p w14:paraId="47C8FA9A" w14:textId="541DC68A" w:rsidR="003C268C" w:rsidRPr="0046220B" w:rsidRDefault="003C268C" w:rsidP="003C268C">
      <w:pPr>
        <w:spacing w:before="120" w:line="276" w:lineRule="auto"/>
        <w:jc w:val="both"/>
        <w:rPr>
          <w:rFonts w:eastAsia="Times New Roman" w:cstheme="minorHAnsi"/>
          <w:color w:val="000000" w:themeColor="text1"/>
          <w:szCs w:val="20"/>
          <w:lang w:eastAsia="de-DE"/>
        </w:rPr>
      </w:pPr>
      <w:r w:rsidRPr="0046220B">
        <w:rPr>
          <w:rFonts w:eastAsia="Times New Roman" w:cstheme="minorHAnsi"/>
          <w:color w:val="000000" w:themeColor="text1"/>
          <w:szCs w:val="20"/>
          <w:lang w:eastAsia="de-DE"/>
        </w:rPr>
        <w:t>Bei einer nachgewiesenen illegalen Ausreise in ein Kriegsgebiet hat der Staat grundsätzlich zwei Möglichkeiten: Entweder kann er die betroffenen Personen ins Heimatland zurückholen und durch effiziente tertiärpräventive Maßnahmen und Distanzierungsangebote der ideologischen Einstellung entgegenwirken. Die zweite Möglichkeit ist, dass eine Rückreise durch den Entzug der Staatsangehörigkeit verhindert wird</w:t>
      </w:r>
      <w:r w:rsidR="002E4B19">
        <w:rPr>
          <w:rFonts w:eastAsia="Times New Roman" w:cstheme="minorHAnsi"/>
          <w:color w:val="000000" w:themeColor="text1"/>
          <w:szCs w:val="20"/>
          <w:lang w:eastAsia="de-DE"/>
        </w:rPr>
        <w:t>,</w:t>
      </w:r>
      <w:r w:rsidRPr="0046220B">
        <w:rPr>
          <w:rFonts w:eastAsia="Times New Roman" w:cstheme="minorHAnsi"/>
          <w:color w:val="000000" w:themeColor="text1"/>
          <w:szCs w:val="20"/>
          <w:lang w:eastAsia="de-DE"/>
        </w:rPr>
        <w:t xml:space="preserve"> bzw. dass die Personen nach einem Bürgerrechtsentzug des Landes verwiesen werden (vgl. Benton, Banulescu-Bogdan 2019). Aus der Perspektive der Radikalisierungsprävention ist die Rückführung von radikalen </w:t>
      </w:r>
      <w:proofErr w:type="gramStart"/>
      <w:r w:rsidRPr="0046220B">
        <w:rPr>
          <w:rFonts w:eastAsia="Times New Roman" w:cstheme="minorHAnsi"/>
          <w:color w:val="000000" w:themeColor="text1"/>
          <w:szCs w:val="20"/>
          <w:lang w:eastAsia="de-DE"/>
        </w:rPr>
        <w:t>Kämpfer:innen</w:t>
      </w:r>
      <w:proofErr w:type="gramEnd"/>
      <w:r w:rsidRPr="0046220B">
        <w:rPr>
          <w:rFonts w:eastAsia="Times New Roman" w:cstheme="minorHAnsi"/>
          <w:color w:val="000000" w:themeColor="text1"/>
          <w:szCs w:val="20"/>
          <w:lang w:eastAsia="de-DE"/>
        </w:rPr>
        <w:t xml:space="preserve"> in den Staat, in dem sie sich radikalisiert haben, notwendig. Auch Sicherheitsexperte Peter Neumann (vgl. Schwarz 2022) beschreibt Rückführungen in Zusammenhang mit der Strafverfolgung und Angeboten der Tertiärprävention als dringlich notwendig in der Bekämpfung von Extremismus und Terrorismus. Denn: Verbleiben die </w:t>
      </w:r>
      <w:proofErr w:type="gramStart"/>
      <w:r w:rsidRPr="0046220B">
        <w:rPr>
          <w:rFonts w:eastAsia="Times New Roman" w:cstheme="minorHAnsi"/>
          <w:color w:val="000000" w:themeColor="text1"/>
          <w:szCs w:val="20"/>
          <w:lang w:eastAsia="de-DE"/>
        </w:rPr>
        <w:t>Kämpfer:innen</w:t>
      </w:r>
      <w:proofErr w:type="gramEnd"/>
      <w:r w:rsidRPr="0046220B">
        <w:rPr>
          <w:rFonts w:eastAsia="Times New Roman" w:cstheme="minorHAnsi"/>
          <w:color w:val="000000" w:themeColor="text1"/>
          <w:szCs w:val="20"/>
          <w:lang w:eastAsia="de-DE"/>
        </w:rPr>
        <w:t xml:space="preserve"> in den Konfliktzonen, so bilden </w:t>
      </w:r>
      <w:r w:rsidR="00837BA3">
        <w:rPr>
          <w:rFonts w:eastAsia="Times New Roman" w:cstheme="minorHAnsi"/>
          <w:color w:val="000000" w:themeColor="text1"/>
          <w:szCs w:val="20"/>
          <w:lang w:eastAsia="de-DE"/>
        </w:rPr>
        <w:t>sie</w:t>
      </w:r>
      <w:r w:rsidR="00837BA3" w:rsidRPr="0046220B">
        <w:rPr>
          <w:rFonts w:eastAsia="Times New Roman" w:cstheme="minorHAnsi"/>
          <w:color w:val="000000" w:themeColor="text1"/>
          <w:szCs w:val="20"/>
          <w:lang w:eastAsia="de-DE"/>
        </w:rPr>
        <w:t xml:space="preserve"> </w:t>
      </w:r>
      <w:r w:rsidRPr="0046220B">
        <w:rPr>
          <w:rFonts w:eastAsia="Times New Roman" w:cstheme="minorHAnsi"/>
          <w:color w:val="000000" w:themeColor="text1"/>
          <w:szCs w:val="20"/>
          <w:lang w:eastAsia="de-DE"/>
        </w:rPr>
        <w:t xml:space="preserve">neue Netzwerke, was die Gefahr der zunehmenden Radikalisierung verstärkt (vgl. Koller, in: Zeit online 2019; Merz 2022: 1-4). Parallel zur juristischen Würdigung ihrer Straftaten ist eine gezielte Distanzierungs- und Reintegrationsarbeit </w:t>
      </w:r>
      <w:r w:rsidRPr="0046220B">
        <w:rPr>
          <w:rFonts w:eastAsia="Times New Roman" w:cstheme="minorHAnsi"/>
          <w:color w:val="000000" w:themeColor="text1"/>
          <w:szCs w:val="20"/>
          <w:lang w:eastAsia="de-DE"/>
        </w:rPr>
        <w:lastRenderedPageBreak/>
        <w:t xml:space="preserve">während des Strafvollzugs unabdingbar. Nur so wird eine Distanzierung zur Ideologie gewährleistet und die innere Sicherheit längerfristig gestärkt. Der Zweck ist, die Gefahr einer (weiteren) Straftat durch Angebote der Tertiärprävention zu senken und der betroffenen Person eine aktive Unterstützung zu bieten, sich einen alternativen Lebensentwurf </w:t>
      </w:r>
      <w:r w:rsidR="00786D85" w:rsidRPr="0046220B">
        <w:rPr>
          <w:rFonts w:eastAsia="Times New Roman" w:cstheme="minorHAnsi"/>
          <w:color w:val="000000" w:themeColor="text1"/>
          <w:szCs w:val="20"/>
          <w:lang w:eastAsia="de-DE"/>
        </w:rPr>
        <w:t>außerhalb</w:t>
      </w:r>
      <w:r w:rsidRPr="0046220B">
        <w:rPr>
          <w:rFonts w:eastAsia="Times New Roman" w:cstheme="minorHAnsi"/>
          <w:color w:val="000000" w:themeColor="text1"/>
          <w:szCs w:val="20"/>
          <w:lang w:eastAsia="de-DE"/>
        </w:rPr>
        <w:t xml:space="preserve"> der Ideologie aufzubauen (vgl. Benton, Banulescu-Bogdan 2019).</w:t>
      </w:r>
    </w:p>
    <w:p w14:paraId="0442CBC7" w14:textId="15568A5B" w:rsidR="003C268C" w:rsidRPr="0046220B" w:rsidRDefault="003C268C" w:rsidP="003C268C">
      <w:pPr>
        <w:spacing w:before="120" w:line="276" w:lineRule="auto"/>
        <w:jc w:val="both"/>
        <w:rPr>
          <w:rFonts w:eastAsia="Times New Roman" w:cstheme="minorHAnsi"/>
          <w:color w:val="000000" w:themeColor="text1"/>
          <w:szCs w:val="20"/>
          <w:lang w:eastAsia="de-DE"/>
        </w:rPr>
      </w:pPr>
      <w:r w:rsidRPr="0046220B">
        <w:rPr>
          <w:rFonts w:eastAsia="Times New Roman" w:cstheme="minorHAnsi"/>
          <w:color w:val="000000" w:themeColor="text1"/>
          <w:szCs w:val="20"/>
          <w:lang w:eastAsia="de-DE"/>
        </w:rPr>
        <w:t>Die zwei Vorgehensweisen illustrieren ein klassisches Spannungsfeld der Präventionsarbeit</w:t>
      </w:r>
      <w:r w:rsidR="005F5397">
        <w:rPr>
          <w:rFonts w:eastAsia="Times New Roman" w:cstheme="minorHAnsi"/>
          <w:color w:val="000000" w:themeColor="text1"/>
          <w:szCs w:val="20"/>
          <w:lang w:eastAsia="de-DE"/>
        </w:rPr>
        <w:t>:</w:t>
      </w:r>
      <w:r w:rsidRPr="0046220B">
        <w:rPr>
          <w:rFonts w:eastAsia="Times New Roman" w:cstheme="minorHAnsi"/>
          <w:color w:val="000000" w:themeColor="text1"/>
          <w:szCs w:val="20"/>
          <w:lang w:eastAsia="de-DE"/>
        </w:rPr>
        <w:t xml:space="preserve"> </w:t>
      </w:r>
      <w:r w:rsidR="005F5397">
        <w:rPr>
          <w:rFonts w:eastAsia="Times New Roman" w:cstheme="minorHAnsi"/>
          <w:color w:val="000000" w:themeColor="text1"/>
          <w:szCs w:val="20"/>
          <w:lang w:eastAsia="de-DE"/>
        </w:rPr>
        <w:t>zum einen die</w:t>
      </w:r>
      <w:r w:rsidRPr="0046220B">
        <w:rPr>
          <w:rFonts w:eastAsia="Times New Roman" w:cstheme="minorHAnsi"/>
          <w:color w:val="000000" w:themeColor="text1"/>
          <w:szCs w:val="20"/>
          <w:lang w:eastAsia="de-DE"/>
        </w:rPr>
        <w:t xml:space="preserve"> Verantwortung für Präventionsmaßnahmen, die individuell ausgerichtet werden und </w:t>
      </w:r>
      <w:r w:rsidR="005F5397">
        <w:rPr>
          <w:rFonts w:eastAsia="Times New Roman" w:cstheme="minorHAnsi"/>
          <w:color w:val="000000" w:themeColor="text1"/>
          <w:szCs w:val="20"/>
          <w:lang w:eastAsia="de-DE"/>
        </w:rPr>
        <w:t xml:space="preserve">zum anderen </w:t>
      </w:r>
      <w:r w:rsidRPr="0046220B">
        <w:rPr>
          <w:rFonts w:eastAsia="Times New Roman" w:cstheme="minorHAnsi"/>
          <w:color w:val="000000" w:themeColor="text1"/>
          <w:szCs w:val="20"/>
          <w:lang w:eastAsia="de-DE"/>
        </w:rPr>
        <w:t>Maßnahmen zur Herstellung von Sicherheit, beispielsweise durch den Bürgerrechtsentzug. Die Handlungsorientierung der Sicherheitsperspektive ist ein Ausbleiben von ideologisch motivierten Gewalt- und Straftaten. Demgegenüber steht die Handlungsorientierung der Verantwortungsübernahme, die sich am Individuum orientiert. Sie unterstützt die betroffenen Personen bei der Bewältigung individueller Probleme und verhilft ihnen zu einer selbstständig und verantwortungsbewusst denkenden und handelnden Persönlichkeit (vgl. Walkenhorst, Ruf 2018). Der Bürgerrechtsentzug zählt zu den sicherheitsfokussierten Maßnahmen. Es stellt sich daher die Frage, inwiefern diese Vorgehensweise mit (sozial-)pädagogischen Grundsätzen der Präventionsarbeit korrespondiert und damit als wirksames Mittel der Tertiärprävention eingesetzt werden kann.</w:t>
      </w:r>
    </w:p>
    <w:p w14:paraId="11903F01" w14:textId="549165E5" w:rsidR="003C268C" w:rsidRPr="0046220B" w:rsidRDefault="009F5912" w:rsidP="009F5912">
      <w:pPr>
        <w:pStyle w:val="2Ebene"/>
      </w:pPr>
      <w:bookmarkStart w:id="50" w:name="_Toc188272777"/>
      <w:bookmarkStart w:id="51" w:name="_Toc195609712"/>
      <w:r>
        <w:t xml:space="preserve">4.4 </w:t>
      </w:r>
      <w:r w:rsidR="003C268C" w:rsidRPr="0046220B">
        <w:t>Präventive Wirkung des Bürgerrechtsentzugs</w:t>
      </w:r>
      <w:bookmarkEnd w:id="50"/>
      <w:bookmarkEnd w:id="51"/>
    </w:p>
    <w:p w14:paraId="65CDB532" w14:textId="56F1043C" w:rsidR="003C268C" w:rsidRPr="0046220B" w:rsidRDefault="003C268C" w:rsidP="003C268C">
      <w:pPr>
        <w:spacing w:before="120" w:line="276" w:lineRule="auto"/>
        <w:jc w:val="both"/>
        <w:rPr>
          <w:rFonts w:eastAsia="Times New Roman" w:cstheme="minorHAnsi"/>
          <w:color w:val="000000" w:themeColor="text1"/>
          <w:szCs w:val="20"/>
          <w:lang w:eastAsia="de-DE"/>
        </w:rPr>
      </w:pPr>
      <w:r w:rsidRPr="0046220B">
        <w:rPr>
          <w:rFonts w:eastAsia="Times New Roman" w:cstheme="minorHAnsi"/>
          <w:color w:val="000000" w:themeColor="text1"/>
          <w:szCs w:val="20"/>
          <w:lang w:eastAsia="de-DE"/>
        </w:rPr>
        <w:t>Der Bürgerrechtsentzug hat aus Perspektive der Tertiä</w:t>
      </w:r>
      <w:r w:rsidR="00786D85" w:rsidRPr="0046220B">
        <w:rPr>
          <w:rFonts w:eastAsia="Times New Roman" w:cstheme="minorHAnsi"/>
          <w:color w:val="000000" w:themeColor="text1"/>
          <w:szCs w:val="20"/>
          <w:lang w:eastAsia="de-DE"/>
        </w:rPr>
        <w:t>r</w:t>
      </w:r>
      <w:r w:rsidRPr="0046220B">
        <w:rPr>
          <w:rFonts w:eastAsia="Times New Roman" w:cstheme="minorHAnsi"/>
          <w:color w:val="000000" w:themeColor="text1"/>
          <w:szCs w:val="20"/>
          <w:lang w:eastAsia="de-DE"/>
        </w:rPr>
        <w:t xml:space="preserve">prävention unterschiedliche Wirkungsmechanismen. Diese betreffen zum einen die individuelle Ebene der </w:t>
      </w:r>
      <w:proofErr w:type="gramStart"/>
      <w:r w:rsidRPr="0046220B">
        <w:rPr>
          <w:rFonts w:eastAsia="Times New Roman" w:cstheme="minorHAnsi"/>
          <w:color w:val="000000" w:themeColor="text1"/>
          <w:szCs w:val="20"/>
          <w:lang w:eastAsia="de-DE"/>
        </w:rPr>
        <w:t>Täter:innen</w:t>
      </w:r>
      <w:proofErr w:type="gramEnd"/>
      <w:r w:rsidRPr="0046220B">
        <w:rPr>
          <w:rFonts w:eastAsia="Times New Roman" w:cstheme="minorHAnsi"/>
          <w:color w:val="000000" w:themeColor="text1"/>
          <w:szCs w:val="20"/>
          <w:lang w:eastAsia="de-DE"/>
        </w:rPr>
        <w:t xml:space="preserve"> und zum anderen die gesellschaftliche Ebene, in der sich </w:t>
      </w:r>
      <w:proofErr w:type="gramStart"/>
      <w:r w:rsidRPr="0046220B">
        <w:rPr>
          <w:rFonts w:eastAsia="Times New Roman" w:cstheme="minorHAnsi"/>
          <w:color w:val="000000" w:themeColor="text1"/>
          <w:szCs w:val="20"/>
          <w:lang w:eastAsia="de-DE"/>
        </w:rPr>
        <w:t>Täter:innen</w:t>
      </w:r>
      <w:proofErr w:type="gramEnd"/>
      <w:r w:rsidRPr="0046220B">
        <w:rPr>
          <w:rFonts w:eastAsia="Times New Roman" w:cstheme="minorHAnsi"/>
          <w:color w:val="000000" w:themeColor="text1"/>
          <w:szCs w:val="20"/>
          <w:lang w:eastAsia="de-DE"/>
        </w:rPr>
        <w:t xml:space="preserve"> bewegen. Auf individueller Ebene hat der Bürgerrechtsentzug theoretisch zur Folge, dass sich das von der betroffenen Person ausgehende Risiko für die innere Sicherheit kurzfristig verringert, da sich die Person nach erfolgter Ausweisung nicht mehr auf dem Territorium des entsprechenden Staates befindet. Es ist allerdings davon auszugehen, dass aufgrund der Personenfreizügigkeit im europäischen Raum insbesondere </w:t>
      </w:r>
      <w:proofErr w:type="gramStart"/>
      <w:r w:rsidRPr="0046220B">
        <w:rPr>
          <w:rFonts w:eastAsia="Times New Roman" w:cstheme="minorHAnsi"/>
          <w:color w:val="000000" w:themeColor="text1"/>
          <w:szCs w:val="20"/>
          <w:lang w:eastAsia="de-DE"/>
        </w:rPr>
        <w:t>Täter:innen</w:t>
      </w:r>
      <w:proofErr w:type="gramEnd"/>
      <w:r w:rsidRPr="0046220B">
        <w:rPr>
          <w:rFonts w:eastAsia="Times New Roman" w:cstheme="minorHAnsi"/>
          <w:color w:val="000000" w:themeColor="text1"/>
          <w:szCs w:val="20"/>
          <w:lang w:eastAsia="de-DE"/>
        </w:rPr>
        <w:t xml:space="preserve"> mit einer EU/EFTA-Staatsangehörigkeit kaum von einer Rückkehr in den Staat, aus dem sie ausgebürgert wurden, abgehalten werden können. So besteht die reale Möglichkeit, dass etwa ein extremistischer Straftäter mit schweizerisch-spanischer Doppelbürgerschaft nach seiner Ausweisung nach Spanien – trotz Einreisesperre in die Schweiz – vergleichsweise mühelos unerkannt zurück in die Schweiz gelangt.</w:t>
      </w:r>
    </w:p>
    <w:p w14:paraId="1FAD22F9" w14:textId="04D14CA6" w:rsidR="003C268C" w:rsidRPr="0046220B" w:rsidRDefault="003C268C" w:rsidP="003C268C">
      <w:pPr>
        <w:spacing w:before="120" w:line="276" w:lineRule="auto"/>
        <w:jc w:val="both"/>
        <w:rPr>
          <w:rFonts w:eastAsia="Times New Roman" w:cstheme="minorHAnsi"/>
          <w:color w:val="000000" w:themeColor="text1"/>
          <w:szCs w:val="20"/>
          <w:lang w:eastAsia="de-DE"/>
        </w:rPr>
      </w:pPr>
      <w:r w:rsidRPr="0046220B">
        <w:rPr>
          <w:rFonts w:eastAsia="Times New Roman" w:cstheme="minorHAnsi"/>
          <w:color w:val="000000" w:themeColor="text1"/>
          <w:szCs w:val="20"/>
          <w:lang w:eastAsia="de-DE"/>
        </w:rPr>
        <w:t>Ein weiterer Wirkungsmechanismus auf individueller Ebene betrifft die Abschreckung. Es ist davon auszugehen, dass die Möglichkeit des Bürgerrechtsentzugs Personen abschreckt, die erwägen, in Kriegsgebieten z.</w:t>
      </w:r>
      <w:r w:rsidR="00226D8E">
        <w:rPr>
          <w:rFonts w:eastAsia="Times New Roman" w:cstheme="minorHAnsi"/>
          <w:color w:val="000000" w:themeColor="text1"/>
          <w:szCs w:val="20"/>
          <w:lang w:eastAsia="de-DE"/>
        </w:rPr>
        <w:t xml:space="preserve"> </w:t>
      </w:r>
      <w:r w:rsidRPr="0046220B">
        <w:rPr>
          <w:rFonts w:eastAsia="Times New Roman" w:cstheme="minorHAnsi"/>
          <w:color w:val="000000" w:themeColor="text1"/>
          <w:szCs w:val="20"/>
          <w:lang w:eastAsia="de-DE"/>
        </w:rPr>
        <w:t xml:space="preserve">B. für den sog. </w:t>
      </w:r>
      <w:r w:rsidRPr="001674F2">
        <w:rPr>
          <w:rFonts w:eastAsia="Times New Roman" w:cstheme="minorHAnsi"/>
          <w:i/>
          <w:iCs/>
          <w:color w:val="000000" w:themeColor="text1"/>
          <w:szCs w:val="20"/>
          <w:lang w:eastAsia="de-DE"/>
        </w:rPr>
        <w:t>Islamischen Staat</w:t>
      </w:r>
      <w:r w:rsidRPr="0046220B">
        <w:rPr>
          <w:rFonts w:eastAsia="Times New Roman" w:cstheme="minorHAnsi"/>
          <w:color w:val="000000" w:themeColor="text1"/>
          <w:szCs w:val="20"/>
          <w:lang w:eastAsia="de-DE"/>
        </w:rPr>
        <w:t xml:space="preserve"> zu kämpfen oder extremistische Straftaten zu begehen. Gleichzeitig wohnt der Maßnahme eine gesellschaftliche Symbolwirkung inne. Das unmissverständliche Signal an die Bevölkerung, dass Personen, die gemeinschaftliche Grundwerte nicht teilen und gegen rechtsstaatliche Grundprinzipien </w:t>
      </w:r>
      <w:r w:rsidR="00786D85" w:rsidRPr="0046220B">
        <w:rPr>
          <w:rFonts w:eastAsia="Times New Roman" w:cstheme="minorHAnsi"/>
          <w:color w:val="000000" w:themeColor="text1"/>
          <w:szCs w:val="20"/>
          <w:lang w:eastAsia="de-DE"/>
        </w:rPr>
        <w:t>verstoßen</w:t>
      </w:r>
      <w:r w:rsidRPr="0046220B">
        <w:rPr>
          <w:rFonts w:eastAsia="Times New Roman" w:cstheme="minorHAnsi"/>
          <w:color w:val="000000" w:themeColor="text1"/>
          <w:szCs w:val="20"/>
          <w:lang w:eastAsia="de-DE"/>
        </w:rPr>
        <w:t>, ihre Zugehörigkeit zum Heimatstaat verlieren und das Land verlassen müssen, mag möglicherweise gesellschaftliche Ängste abbauen (vgl. Benton, Banulescu-Bogdan 2019; Mehra 2024).</w:t>
      </w:r>
    </w:p>
    <w:p w14:paraId="50235BD6" w14:textId="0D4A640F" w:rsidR="003C268C" w:rsidRPr="0046220B" w:rsidRDefault="003C268C" w:rsidP="003C268C">
      <w:pPr>
        <w:spacing w:before="120" w:line="276" w:lineRule="auto"/>
        <w:jc w:val="both"/>
        <w:rPr>
          <w:rFonts w:eastAsia="Times New Roman" w:cstheme="minorHAnsi"/>
          <w:color w:val="000000" w:themeColor="text1"/>
          <w:szCs w:val="20"/>
          <w:lang w:eastAsia="de-DE"/>
        </w:rPr>
      </w:pPr>
      <w:r w:rsidRPr="0046220B">
        <w:rPr>
          <w:rFonts w:eastAsia="Times New Roman" w:cstheme="minorHAnsi"/>
          <w:color w:val="000000" w:themeColor="text1"/>
          <w:szCs w:val="20"/>
          <w:lang w:eastAsia="de-DE"/>
        </w:rPr>
        <w:t xml:space="preserve">Zusammenfassend schafft der Bürgerrechtsentzug eine potenzielle kurzfristige Verbesserung der Sicherheitslage innerhalb des betroffenen Staats und mag eine abschreckende Wirkung haben. Ihr kommt zudem starke Symbolwirkung innerhalb der Gesellschaft zu, indem der Staat </w:t>
      </w:r>
      <w:proofErr w:type="gramStart"/>
      <w:r w:rsidRPr="0046220B">
        <w:rPr>
          <w:rFonts w:eastAsia="Times New Roman" w:cstheme="minorHAnsi"/>
          <w:color w:val="000000" w:themeColor="text1"/>
          <w:szCs w:val="20"/>
          <w:lang w:eastAsia="de-DE"/>
        </w:rPr>
        <w:t>Straftäter:innen</w:t>
      </w:r>
      <w:proofErr w:type="gramEnd"/>
      <w:r w:rsidRPr="0046220B">
        <w:rPr>
          <w:rFonts w:eastAsia="Times New Roman" w:cstheme="minorHAnsi"/>
          <w:color w:val="000000" w:themeColor="text1"/>
          <w:szCs w:val="20"/>
          <w:lang w:eastAsia="de-DE"/>
        </w:rPr>
        <w:t xml:space="preserve"> nicht machtlos </w:t>
      </w:r>
      <w:r w:rsidR="00F819E9">
        <w:rPr>
          <w:rFonts w:eastAsia="Times New Roman" w:cstheme="minorHAnsi"/>
          <w:color w:val="000000" w:themeColor="text1"/>
          <w:szCs w:val="20"/>
          <w:lang w:eastAsia="de-DE"/>
        </w:rPr>
        <w:t>gegenüber</w:t>
      </w:r>
      <w:r w:rsidRPr="0046220B">
        <w:rPr>
          <w:rFonts w:eastAsia="Times New Roman" w:cstheme="minorHAnsi"/>
          <w:color w:val="000000" w:themeColor="text1"/>
          <w:szCs w:val="20"/>
          <w:lang w:eastAsia="de-DE"/>
        </w:rPr>
        <w:t xml:space="preserve">steht. Die zentrale Fragestellung für die Prävention ist allerdings, inwiefern die Maßnahme </w:t>
      </w:r>
      <w:r w:rsidRPr="0046220B">
        <w:rPr>
          <w:rFonts w:eastAsia="Times New Roman" w:cstheme="minorHAnsi"/>
          <w:i/>
          <w:iCs/>
          <w:color w:val="000000" w:themeColor="text1"/>
          <w:szCs w:val="20"/>
          <w:lang w:eastAsia="de-DE"/>
        </w:rPr>
        <w:t>geeignet</w:t>
      </w:r>
      <w:r w:rsidRPr="0046220B">
        <w:rPr>
          <w:rFonts w:eastAsia="Times New Roman" w:cstheme="minorHAnsi"/>
          <w:color w:val="000000" w:themeColor="text1"/>
          <w:szCs w:val="20"/>
          <w:lang w:eastAsia="de-DE"/>
        </w:rPr>
        <w:t xml:space="preserve"> ist, um die kognitive Distanzierung von der Ideologie und de</w:t>
      </w:r>
      <w:r w:rsidR="00E42614">
        <w:rPr>
          <w:rFonts w:eastAsia="Times New Roman" w:cstheme="minorHAnsi"/>
          <w:color w:val="000000" w:themeColor="text1"/>
          <w:szCs w:val="20"/>
          <w:lang w:eastAsia="de-DE"/>
        </w:rPr>
        <w:t>n</w:t>
      </w:r>
      <w:r w:rsidRPr="0046220B">
        <w:rPr>
          <w:rFonts w:eastAsia="Times New Roman" w:cstheme="minorHAnsi"/>
          <w:color w:val="000000" w:themeColor="text1"/>
          <w:szCs w:val="20"/>
          <w:lang w:eastAsia="de-DE"/>
        </w:rPr>
        <w:t xml:space="preserve"> Aufbau alternativer, identitätsstiftender Lebensinhalte zu gewährleisten. Nur so würde sie die Kernaufgabe der Prävention erfüllen.</w:t>
      </w:r>
    </w:p>
    <w:p w14:paraId="7786EF1D" w14:textId="5E98B0A2" w:rsidR="003C268C" w:rsidRPr="0046220B" w:rsidRDefault="009F5912" w:rsidP="009F5912">
      <w:pPr>
        <w:pStyle w:val="2Ebene"/>
      </w:pPr>
      <w:bookmarkStart w:id="52" w:name="_Toc168494910"/>
      <w:bookmarkStart w:id="53" w:name="_Toc188272778"/>
      <w:bookmarkStart w:id="54" w:name="_Toc195609713"/>
      <w:r>
        <w:lastRenderedPageBreak/>
        <w:t xml:space="preserve">4.5 </w:t>
      </w:r>
      <w:r w:rsidR="003C268C" w:rsidRPr="0046220B">
        <w:t>Würdigung des Bürgerrechtsentzug</w:t>
      </w:r>
      <w:bookmarkEnd w:id="52"/>
      <w:r w:rsidR="003C268C" w:rsidRPr="0046220B">
        <w:t>s aus Präventionsperspektive</w:t>
      </w:r>
      <w:bookmarkEnd w:id="53"/>
      <w:bookmarkEnd w:id="54"/>
      <w:r w:rsidR="003C268C" w:rsidRPr="0046220B">
        <w:t xml:space="preserve"> </w:t>
      </w:r>
    </w:p>
    <w:p w14:paraId="0E902B97" w14:textId="64D72837" w:rsidR="003C268C" w:rsidRPr="0046220B" w:rsidRDefault="009F5912" w:rsidP="009F5912">
      <w:pPr>
        <w:pStyle w:val="3Ebene"/>
      </w:pPr>
      <w:bookmarkStart w:id="55" w:name="_Toc188272779"/>
      <w:bookmarkStart w:id="56" w:name="_Toc195609714"/>
      <w:r>
        <w:t xml:space="preserve">4.5.1 </w:t>
      </w:r>
      <w:r w:rsidR="003C268C" w:rsidRPr="0046220B">
        <w:t>Einführung</w:t>
      </w:r>
      <w:bookmarkEnd w:id="55"/>
      <w:bookmarkEnd w:id="56"/>
    </w:p>
    <w:p w14:paraId="4BE503AA" w14:textId="79ED498B" w:rsidR="003C268C" w:rsidRPr="0046220B" w:rsidRDefault="003C268C" w:rsidP="003C268C">
      <w:pPr>
        <w:spacing w:line="276" w:lineRule="auto"/>
        <w:jc w:val="both"/>
        <w:rPr>
          <w:rFonts w:eastAsia="Times New Roman" w:cstheme="minorHAnsi"/>
          <w:color w:val="000000" w:themeColor="text1"/>
          <w:lang w:eastAsia="de-DE"/>
        </w:rPr>
      </w:pPr>
      <w:r w:rsidRPr="0046220B">
        <w:rPr>
          <w:rFonts w:eastAsia="Times New Roman" w:cstheme="minorHAnsi"/>
          <w:color w:val="000000" w:themeColor="text1"/>
          <w:lang w:eastAsia="de-DE"/>
        </w:rPr>
        <w:t xml:space="preserve">Ob der Bürgerrechtsentzug eine geeignete Maßnahme der Radikalisierungsprävention ist, wird anhand unterschiedlicher Aspekte analysiert. Dabei werden (1) die individuelle Ebene der </w:t>
      </w:r>
      <w:proofErr w:type="gramStart"/>
      <w:r w:rsidRPr="0046220B">
        <w:rPr>
          <w:rFonts w:eastAsia="Times New Roman" w:cstheme="minorHAnsi"/>
          <w:color w:val="000000" w:themeColor="text1"/>
          <w:lang w:eastAsia="de-DE"/>
        </w:rPr>
        <w:t>Täter:innen</w:t>
      </w:r>
      <w:proofErr w:type="gramEnd"/>
      <w:r w:rsidRPr="0046220B">
        <w:rPr>
          <w:rFonts w:eastAsia="Times New Roman" w:cstheme="minorHAnsi"/>
          <w:color w:val="000000" w:themeColor="text1"/>
          <w:lang w:eastAsia="de-DE"/>
        </w:rPr>
        <w:t>, (2) die Präventionsgrundsätze, (3) die Auswirkungen eines Bürgerrechtsentzugs auf den Aufenthaltsstatus sowie (4) die Verantwortung der internationalen Staatengemeinschaft erläutert. Ziel ist es, die Geeignetheit der Maßnahme in Bezug auf die Prävention zu überprüfen und zu analysieren, welche Risiken ein Bürgerrechtsentzug in Bezug auf fortschreitende Radikalisierungsverl</w:t>
      </w:r>
      <w:r w:rsidR="00985E0C">
        <w:rPr>
          <w:rFonts w:eastAsia="Times New Roman" w:cstheme="minorHAnsi"/>
          <w:color w:val="000000" w:themeColor="text1"/>
          <w:lang w:eastAsia="de-DE"/>
        </w:rPr>
        <w:t>ä</w:t>
      </w:r>
      <w:r w:rsidRPr="0046220B">
        <w:rPr>
          <w:rFonts w:eastAsia="Times New Roman" w:cstheme="minorHAnsi"/>
          <w:color w:val="000000" w:themeColor="text1"/>
          <w:lang w:eastAsia="de-DE"/>
        </w:rPr>
        <w:t>ufe birgt.</w:t>
      </w:r>
    </w:p>
    <w:p w14:paraId="2BCA795C" w14:textId="237B22D8" w:rsidR="003C268C" w:rsidRPr="0046220B" w:rsidRDefault="009F5912" w:rsidP="009F5912">
      <w:pPr>
        <w:pStyle w:val="3Ebene"/>
      </w:pPr>
      <w:bookmarkStart w:id="57" w:name="_Toc188272780"/>
      <w:bookmarkStart w:id="58" w:name="_Toc195609715"/>
      <w:r>
        <w:t xml:space="preserve">4.5.2 </w:t>
      </w:r>
      <w:r w:rsidR="003C268C" w:rsidRPr="0046220B">
        <w:t>Gefühlte Diskriminierung und Radikalisierung</w:t>
      </w:r>
      <w:bookmarkEnd w:id="57"/>
      <w:bookmarkEnd w:id="58"/>
    </w:p>
    <w:p w14:paraId="119E87C8" w14:textId="34067FF4" w:rsidR="003C268C" w:rsidRPr="0046220B" w:rsidRDefault="003C268C" w:rsidP="003C268C">
      <w:pPr>
        <w:pStyle w:val="StandardWeb"/>
        <w:shd w:val="clear" w:color="auto" w:fill="FFFFFF"/>
        <w:spacing w:line="276" w:lineRule="auto"/>
        <w:jc w:val="both"/>
        <w:rPr>
          <w:rFonts w:asciiTheme="minorHAnsi" w:hAnsiTheme="minorHAnsi" w:cstheme="minorHAnsi"/>
          <w:color w:val="000000" w:themeColor="text1"/>
          <w:sz w:val="22"/>
          <w:szCs w:val="22"/>
        </w:rPr>
      </w:pPr>
      <w:r w:rsidRPr="0046220B">
        <w:rPr>
          <w:rFonts w:asciiTheme="minorHAnsi" w:hAnsiTheme="minorHAnsi" w:cstheme="minorHAnsi"/>
          <w:color w:val="000000" w:themeColor="text1"/>
          <w:sz w:val="22"/>
          <w:szCs w:val="22"/>
        </w:rPr>
        <w:t>Eine Voraussetzung für den Bürgerrechtsentzugs ist eine doppelte Staatsbürgerschaft der betroffenen Person. Daher umfasst die primäre Personengruppe, de</w:t>
      </w:r>
      <w:r w:rsidR="00A7738D">
        <w:rPr>
          <w:rFonts w:asciiTheme="minorHAnsi" w:hAnsiTheme="minorHAnsi" w:cstheme="minorHAnsi"/>
          <w:color w:val="000000" w:themeColor="text1"/>
          <w:sz w:val="22"/>
          <w:szCs w:val="22"/>
        </w:rPr>
        <w:t>r</w:t>
      </w:r>
      <w:r w:rsidRPr="0046220B">
        <w:rPr>
          <w:rFonts w:asciiTheme="minorHAnsi" w:hAnsiTheme="minorHAnsi" w:cstheme="minorHAnsi"/>
          <w:color w:val="000000" w:themeColor="text1"/>
          <w:sz w:val="22"/>
          <w:szCs w:val="22"/>
        </w:rPr>
        <w:t xml:space="preserve"> das Bürgerrecht entzogen werden kann, wie in </w:t>
      </w:r>
      <w:r w:rsidRPr="0046220B">
        <w:rPr>
          <w:rFonts w:asciiTheme="minorHAnsi" w:eastAsiaTheme="minorHAnsi" w:hAnsiTheme="minorHAnsi" w:cstheme="minorHAnsi"/>
          <w:color w:val="000000" w:themeColor="text1"/>
          <w:kern w:val="2"/>
          <w:sz w:val="22"/>
          <w:szCs w:val="22"/>
          <w:lang w:eastAsia="en-US"/>
          <w14:ligatures w14:val="standardContextual"/>
        </w:rPr>
        <w:t>Kap</w:t>
      </w:r>
      <w:r w:rsidR="00A7738D">
        <w:rPr>
          <w:rFonts w:asciiTheme="minorHAnsi" w:eastAsiaTheme="minorHAnsi" w:hAnsiTheme="minorHAnsi" w:cstheme="minorHAnsi"/>
          <w:color w:val="000000" w:themeColor="text1"/>
          <w:kern w:val="2"/>
          <w:sz w:val="22"/>
          <w:szCs w:val="22"/>
          <w:lang w:eastAsia="en-US"/>
          <w14:ligatures w14:val="standardContextual"/>
        </w:rPr>
        <w:t>itel</w:t>
      </w:r>
      <w:r w:rsidRPr="0046220B">
        <w:rPr>
          <w:rFonts w:asciiTheme="minorHAnsi" w:eastAsiaTheme="minorHAnsi" w:hAnsiTheme="minorHAnsi" w:cstheme="minorHAnsi"/>
          <w:color w:val="000000" w:themeColor="text1"/>
          <w:kern w:val="2"/>
          <w:sz w:val="22"/>
          <w:szCs w:val="22"/>
          <w:lang w:eastAsia="en-US"/>
          <w14:ligatures w14:val="standardContextual"/>
        </w:rPr>
        <w:t xml:space="preserve"> 3.3.2 beschrieben</w:t>
      </w:r>
      <w:r w:rsidRPr="0046220B">
        <w:rPr>
          <w:rFonts w:asciiTheme="minorHAnsi" w:hAnsiTheme="minorHAnsi" w:cstheme="minorHAnsi"/>
          <w:color w:val="000000" w:themeColor="text1"/>
          <w:sz w:val="22"/>
          <w:szCs w:val="22"/>
        </w:rPr>
        <w:t xml:space="preserve">, muslimisch sozialisierte </w:t>
      </w:r>
      <w:r w:rsidRPr="0046220B">
        <w:rPr>
          <w:rFonts w:asciiTheme="minorHAnsi" w:eastAsiaTheme="minorHAnsi" w:hAnsiTheme="minorHAnsi" w:cstheme="minorHAnsi"/>
          <w:color w:val="000000" w:themeColor="text1"/>
          <w:kern w:val="2"/>
          <w:sz w:val="22"/>
          <w:szCs w:val="22"/>
          <w:lang w:eastAsia="en-US"/>
          <w14:ligatures w14:val="standardContextual"/>
        </w:rPr>
        <w:t>Menschen mit Migrationsgeschichte (vgl. von Rütte 2023: 23; Benton, Banulescu-Bogdan 2019). Es ist davon auszugehen, dass</w:t>
      </w:r>
      <w:r w:rsidRPr="0046220B">
        <w:rPr>
          <w:rFonts w:asciiTheme="minorHAnsi" w:hAnsiTheme="minorHAnsi" w:cstheme="minorHAnsi"/>
          <w:color w:val="000000" w:themeColor="text1"/>
          <w:sz w:val="22"/>
          <w:szCs w:val="22"/>
        </w:rPr>
        <w:t xml:space="preserve"> eine drohender Bürgerrechtsentzug – auch unabhängig von einer effektiven Tatbegehung – bei der betroffenen Minderheitsgesellschaft eine gefühlte Ungleichbehandlung bewirkt.</w:t>
      </w:r>
    </w:p>
    <w:p w14:paraId="09CBB078" w14:textId="786784A3" w:rsidR="003C268C" w:rsidRPr="0046220B" w:rsidRDefault="003C268C" w:rsidP="003C268C">
      <w:pPr>
        <w:pStyle w:val="StandardWeb"/>
        <w:shd w:val="clear" w:color="auto" w:fill="FFFFFF"/>
        <w:spacing w:line="276" w:lineRule="auto"/>
        <w:jc w:val="both"/>
        <w:rPr>
          <w:rFonts w:asciiTheme="minorHAnsi" w:eastAsiaTheme="minorHAnsi" w:hAnsiTheme="minorHAnsi" w:cstheme="minorHAnsi"/>
          <w:color w:val="000000" w:themeColor="text1"/>
          <w:kern w:val="2"/>
          <w:sz w:val="22"/>
          <w:szCs w:val="22"/>
          <w:lang w:eastAsia="en-US"/>
          <w14:ligatures w14:val="standardContextual"/>
        </w:rPr>
      </w:pPr>
      <w:r w:rsidRPr="0046220B">
        <w:rPr>
          <w:rFonts w:asciiTheme="minorHAnsi" w:hAnsiTheme="minorHAnsi" w:cstheme="minorHAnsi"/>
          <w:color w:val="000000" w:themeColor="text1"/>
          <w:sz w:val="22"/>
          <w:szCs w:val="22"/>
        </w:rPr>
        <w:t>Der Zusammenhang zwischen Diskriminierung und Radikalisierung ist wissenschaftlich unumstritten (vgl. Heitmeyer et al. 1997: 183 f.; Hößl 2019; Baumann et al. 2022: 73). Die muslimische Identität kann sich durch erlebte Diskriminierung verfestigen</w:t>
      </w:r>
      <w:r w:rsidR="002E57D9">
        <w:rPr>
          <w:rFonts w:asciiTheme="minorHAnsi" w:hAnsiTheme="minorHAnsi" w:cstheme="minorHAnsi"/>
          <w:color w:val="000000" w:themeColor="text1"/>
          <w:sz w:val="22"/>
          <w:szCs w:val="22"/>
        </w:rPr>
        <w:t>,</w:t>
      </w:r>
      <w:r w:rsidRPr="0046220B">
        <w:rPr>
          <w:rFonts w:asciiTheme="minorHAnsi" w:hAnsiTheme="minorHAnsi" w:cstheme="minorHAnsi"/>
          <w:color w:val="000000" w:themeColor="text1"/>
          <w:sz w:val="22"/>
          <w:szCs w:val="22"/>
        </w:rPr>
        <w:t xml:space="preserve"> </w:t>
      </w:r>
      <w:r w:rsidR="002E57D9">
        <w:rPr>
          <w:rFonts w:asciiTheme="minorHAnsi" w:hAnsiTheme="minorHAnsi" w:cstheme="minorHAnsi"/>
          <w:color w:val="000000" w:themeColor="text1"/>
          <w:sz w:val="22"/>
          <w:szCs w:val="22"/>
        </w:rPr>
        <w:t>zugleich</w:t>
      </w:r>
      <w:r w:rsidRPr="0046220B">
        <w:rPr>
          <w:rFonts w:asciiTheme="minorHAnsi" w:hAnsiTheme="minorHAnsi" w:cstheme="minorHAnsi"/>
          <w:color w:val="000000" w:themeColor="text1"/>
          <w:sz w:val="22"/>
          <w:szCs w:val="22"/>
        </w:rPr>
        <w:t xml:space="preserve"> steigt die Angst der Betroffenen, ihre Identität öffentlich zu zeigen (vgl. Benton, Banulescu-Bogdan 2019). Das Gefühl von Ungleichbehandlung verstärkt längerfristig bestehende Ungleichheiten</w:t>
      </w:r>
      <w:r w:rsidRPr="0046220B">
        <w:rPr>
          <w:rFonts w:asciiTheme="minorHAnsi" w:eastAsiaTheme="minorHAnsi" w:hAnsiTheme="minorHAnsi" w:cstheme="minorHAnsi"/>
          <w:color w:val="000000" w:themeColor="text1"/>
          <w:kern w:val="2"/>
          <w:sz w:val="22"/>
          <w:szCs w:val="22"/>
          <w:lang w:eastAsia="en-US"/>
          <w14:ligatures w14:val="standardContextual"/>
        </w:rPr>
        <w:t xml:space="preserve"> sowie die Marginalisierung von Minderheiten wie </w:t>
      </w:r>
      <w:r w:rsidR="00460A5E">
        <w:rPr>
          <w:rFonts w:asciiTheme="minorHAnsi" w:eastAsiaTheme="minorHAnsi" w:hAnsiTheme="minorHAnsi" w:cstheme="minorHAnsi"/>
          <w:color w:val="000000" w:themeColor="text1"/>
          <w:kern w:val="2"/>
          <w:sz w:val="22"/>
          <w:szCs w:val="22"/>
          <w:lang w:eastAsia="en-US"/>
          <w14:ligatures w14:val="standardContextual"/>
        </w:rPr>
        <w:t xml:space="preserve">bspw. </w:t>
      </w:r>
      <w:r w:rsidRPr="0046220B">
        <w:rPr>
          <w:rFonts w:asciiTheme="minorHAnsi" w:eastAsiaTheme="minorHAnsi" w:hAnsiTheme="minorHAnsi" w:cstheme="minorHAnsi"/>
          <w:color w:val="000000" w:themeColor="text1"/>
          <w:kern w:val="2"/>
          <w:sz w:val="22"/>
          <w:szCs w:val="22"/>
          <w:lang w:eastAsia="en-US"/>
          <w14:ligatures w14:val="standardContextual"/>
        </w:rPr>
        <w:t xml:space="preserve">Menschen mit einem Migrationshintergrund und muslimischen Glaubens. </w:t>
      </w:r>
      <w:r w:rsidRPr="0046220B">
        <w:rPr>
          <w:rFonts w:asciiTheme="minorHAnsi" w:hAnsiTheme="minorHAnsi" w:cstheme="minorHAnsi"/>
          <w:color w:val="000000" w:themeColor="text1"/>
          <w:sz w:val="22"/>
          <w:szCs w:val="22"/>
        </w:rPr>
        <w:t xml:space="preserve">Als Folge davon können Personen, die am Anfang eines Radikalisierungsprozesses stehen, sich in ihr ideologisch geprägtes Umfeld zurückziehen. Damit wird die erlebte Benachteiligung zum Risikofaktor: Eine Person kann sich (weiter) gegen die demokratische Grundordnung richten und/oder zunehmend radikalisieren. Dieser Prozess wird zu einer Gefahr für die innere Sicherheit </w:t>
      </w:r>
      <w:r w:rsidRPr="0046220B">
        <w:rPr>
          <w:rFonts w:asciiTheme="minorHAnsi" w:eastAsiaTheme="minorHAnsi" w:hAnsiTheme="minorHAnsi" w:cstheme="minorHAnsi"/>
          <w:color w:val="000000" w:themeColor="text1"/>
          <w:kern w:val="2"/>
          <w:sz w:val="22"/>
          <w:szCs w:val="22"/>
          <w:lang w:eastAsia="en-US"/>
          <w14:ligatures w14:val="standardContextual"/>
        </w:rPr>
        <w:t xml:space="preserve">(vgl. von Rütte 2023: 36; 27; </w:t>
      </w:r>
      <w:r w:rsidRPr="0046220B">
        <w:rPr>
          <w:rFonts w:asciiTheme="minorHAnsi" w:hAnsiTheme="minorHAnsi" w:cstheme="minorHAnsi"/>
          <w:color w:val="000000" w:themeColor="text1"/>
          <w:sz w:val="22"/>
          <w:szCs w:val="22"/>
        </w:rPr>
        <w:t>Bolhuis, van Wijk 2020: 364 f.</w:t>
      </w:r>
      <w:r w:rsidRPr="0046220B">
        <w:rPr>
          <w:rFonts w:asciiTheme="minorHAnsi" w:eastAsiaTheme="minorHAnsi" w:hAnsiTheme="minorHAnsi" w:cstheme="minorHAnsi"/>
          <w:color w:val="000000" w:themeColor="text1"/>
          <w:kern w:val="2"/>
          <w:sz w:val="22"/>
          <w:szCs w:val="22"/>
          <w:lang w:eastAsia="en-US"/>
          <w14:ligatures w14:val="standardContextual"/>
        </w:rPr>
        <w:t>). Auch im Hinblick auf die abschreckende Wirkung eines Bürgerrechtsentzugs können repressive staatliche Maßnahmen die wahrgenommene Ungleichheit und Diskriminierung verstärken, was wiederum eine zunehmende Radikalisierung begünstigen kann.</w:t>
      </w:r>
      <w:r w:rsidRPr="0046220B">
        <w:rPr>
          <w:rStyle w:val="Funotenzeichen"/>
          <w:rFonts w:asciiTheme="minorHAnsi" w:eastAsiaTheme="minorHAnsi" w:hAnsiTheme="minorHAnsi" w:cstheme="minorHAnsi"/>
          <w:color w:val="000000" w:themeColor="text1"/>
          <w:kern w:val="2"/>
          <w:sz w:val="22"/>
          <w:szCs w:val="22"/>
          <w:lang w:eastAsia="en-US"/>
          <w14:ligatures w14:val="standardContextual"/>
        </w:rPr>
        <w:footnoteReference w:id="31"/>
      </w:r>
    </w:p>
    <w:p w14:paraId="663D9088" w14:textId="77777777" w:rsidR="003C268C" w:rsidRPr="0046220B" w:rsidRDefault="003C268C" w:rsidP="003C268C">
      <w:pPr>
        <w:pStyle w:val="StandardWeb"/>
        <w:shd w:val="clear" w:color="auto" w:fill="FFFFFF"/>
        <w:spacing w:line="276" w:lineRule="auto"/>
        <w:jc w:val="both"/>
        <w:rPr>
          <w:rFonts w:asciiTheme="minorHAnsi" w:hAnsiTheme="minorHAnsi" w:cstheme="minorHAnsi"/>
          <w:color w:val="000000" w:themeColor="text1"/>
          <w:sz w:val="22"/>
          <w:szCs w:val="22"/>
        </w:rPr>
      </w:pPr>
      <w:r w:rsidRPr="0046220B">
        <w:rPr>
          <w:rFonts w:asciiTheme="minorHAnsi" w:hAnsiTheme="minorHAnsi" w:cstheme="minorHAnsi"/>
          <w:color w:val="000000" w:themeColor="text1"/>
          <w:sz w:val="22"/>
          <w:szCs w:val="22"/>
        </w:rPr>
        <w:t>Die Möglichkeit des Bürgerrechtsentzugs birgt demnach das Risiko, einen Radikalisierungsprozess zu beschleunigen, anstatt diesem präventiv entgegenzuwirken.</w:t>
      </w:r>
    </w:p>
    <w:p w14:paraId="62DEA04C" w14:textId="0386513D" w:rsidR="003C268C" w:rsidRPr="0046220B" w:rsidRDefault="009F5912" w:rsidP="009F5912">
      <w:pPr>
        <w:pStyle w:val="3Ebene"/>
      </w:pPr>
      <w:bookmarkStart w:id="59" w:name="_Toc188272781"/>
      <w:bookmarkStart w:id="60" w:name="_Toc195609716"/>
      <w:r>
        <w:t xml:space="preserve">4.5.3 </w:t>
      </w:r>
      <w:r w:rsidR="003C268C" w:rsidRPr="0046220B">
        <w:t>Spannungsfeld Sicherheitsmassnahmen und Präventionsgrundsätze</w:t>
      </w:r>
      <w:bookmarkEnd w:id="59"/>
      <w:bookmarkEnd w:id="60"/>
      <w:r w:rsidR="003C268C" w:rsidRPr="0046220B">
        <w:t xml:space="preserve"> </w:t>
      </w:r>
    </w:p>
    <w:p w14:paraId="11B87D39" w14:textId="69325B3D" w:rsidR="003C268C" w:rsidRPr="0046220B" w:rsidRDefault="003C268C" w:rsidP="003C268C">
      <w:pPr>
        <w:spacing w:before="120" w:line="276" w:lineRule="auto"/>
        <w:jc w:val="both"/>
        <w:rPr>
          <w:rFonts w:eastAsia="Times New Roman" w:cstheme="minorHAnsi"/>
          <w:color w:val="000000" w:themeColor="text1"/>
          <w:szCs w:val="20"/>
          <w:lang w:eastAsia="de-DE"/>
        </w:rPr>
      </w:pPr>
      <w:r w:rsidRPr="0046220B">
        <w:rPr>
          <w:rFonts w:eastAsia="Times New Roman" w:cstheme="minorHAnsi"/>
          <w:color w:val="000000" w:themeColor="text1"/>
          <w:szCs w:val="20"/>
          <w:lang w:eastAsia="de-DE"/>
        </w:rPr>
        <w:t xml:space="preserve">Das Spannungsfeld zwischen Sicherheitsmaßnahmen und (sozial-)pädagogischen Präventionsgrundsätzen prägt den Diskurs in der Präventionspraxis. Dabei unterscheiden sich zwei Perspektiven: Zum einen kann der Fokus der Präventionsarbeit auf der Herstellung von Sicherheit mittels repressiver Maßnahmen liegen. Zum anderen können Radikalisierungsprozesse mit einem Fokus auf (sozial-)pädagogische Grundsätze analysiert werden, in denen das Individuum im Zentrum steht und gesellschaftliche Problemstellungen wie Diskriminierung inkludiert werden (vgl. </w:t>
      </w:r>
      <w:r w:rsidRPr="0046220B">
        <w:rPr>
          <w:rFonts w:eastAsia="Times New Roman" w:cstheme="minorHAnsi"/>
          <w:color w:val="000000" w:themeColor="text1"/>
          <w:szCs w:val="20"/>
          <w:lang w:eastAsia="de-DE"/>
        </w:rPr>
        <w:lastRenderedPageBreak/>
        <w:t>Walkenhorst, Ruf 2018; Figlestahler, Schau, in: Bundesarbeitsgemeinschaft religiös begründeter Extremismus e. V. 2022: 13 f.).</w:t>
      </w:r>
    </w:p>
    <w:p w14:paraId="6DA89F9D" w14:textId="3658489E" w:rsidR="003C268C" w:rsidRPr="0046220B" w:rsidRDefault="003C268C" w:rsidP="003C268C">
      <w:pPr>
        <w:spacing w:before="120" w:line="276" w:lineRule="auto"/>
        <w:jc w:val="both"/>
        <w:rPr>
          <w:rFonts w:eastAsia="Times New Roman" w:cstheme="minorHAnsi"/>
          <w:color w:val="000000" w:themeColor="text1"/>
          <w:szCs w:val="20"/>
          <w:lang w:eastAsia="de-DE"/>
        </w:rPr>
      </w:pPr>
      <w:r w:rsidRPr="0046220B">
        <w:rPr>
          <w:rFonts w:eastAsia="Times New Roman" w:cstheme="minorHAnsi"/>
          <w:color w:val="000000" w:themeColor="text1"/>
          <w:szCs w:val="20"/>
          <w:lang w:eastAsia="de-DE"/>
        </w:rPr>
        <w:t>Der Bürgerrechtsentzug soll als repressive Maßnahme die innere Sicherheit eines Staates gewährleisten. Damit handelt es sich beim Bürgerrechtsentzug um eine tertiärpräventive Intervention aus Sicherheitsperspektive resp. um eine Straftatprävention. Diese Schwerpunktlegung bewirkt, dass das Augenmerk insbesondere auf möglichen Gefahren und auf deren Verhinderung liegt. Aspekte der gesellschaftlichen Teilhabe oder der individuellen Persönlichkeitsentwicklung finden dabei wenig Beachtung (vgl. Walkenhorst, Ruf 2018). Vorsicht ist dabei in Bezug auf die Dominanz von sicherheitspolitischen Logiken in der Präventionsarbeit geboten. Diese birgt die Gefahr, dass (sozial-)</w:t>
      </w:r>
      <w:r w:rsidR="001C0F4F">
        <w:rPr>
          <w:rFonts w:eastAsia="Times New Roman" w:cstheme="minorHAnsi"/>
          <w:color w:val="000000" w:themeColor="text1"/>
          <w:szCs w:val="20"/>
          <w:lang w:eastAsia="de-DE"/>
        </w:rPr>
        <w:t xml:space="preserve"> </w:t>
      </w:r>
      <w:r w:rsidRPr="0046220B">
        <w:rPr>
          <w:rFonts w:eastAsia="Times New Roman" w:cstheme="minorHAnsi"/>
          <w:color w:val="000000" w:themeColor="text1"/>
          <w:szCs w:val="20"/>
          <w:lang w:eastAsia="de-DE"/>
        </w:rPr>
        <w:t xml:space="preserve">pädagogische Standards eingeschränkt, zivilgesellschaftliche Träger sowie staatliche Leistungserbringer in erster Linie dem Ziel der Herstellung von Sicherheit verpflichtet sind. Dabei </w:t>
      </w:r>
      <w:r w:rsidR="00786D85" w:rsidRPr="0046220B">
        <w:rPr>
          <w:rFonts w:eastAsia="Times New Roman" w:cstheme="minorHAnsi"/>
          <w:color w:val="000000" w:themeColor="text1"/>
          <w:szCs w:val="20"/>
          <w:lang w:eastAsia="de-DE"/>
        </w:rPr>
        <w:t>genießt</w:t>
      </w:r>
      <w:r w:rsidRPr="0046220B">
        <w:rPr>
          <w:rFonts w:eastAsia="Times New Roman" w:cstheme="minorHAnsi"/>
          <w:color w:val="000000" w:themeColor="text1"/>
          <w:szCs w:val="20"/>
          <w:lang w:eastAsia="de-DE"/>
        </w:rPr>
        <w:t xml:space="preserve"> die Distanzierung vom ideologischen Gedankengut wenig Bedeutung und wird durch den Fokus auf Straftatprävention marginalisiert (vgl. Figlestahler &amp; Schau, 2019, Walkenhorst, Ruf 2018, Figlestahler, Schau, in: Bundesarbeitsgemeinschaft religiös begründeter Extremismus e. V. 2022: 20). Die präventive Wirkung des Bürgerrechtsentzugs bzw. eine daraus resultierende Verbesserung der Sicherheitslage ist folglich fraglich. Der Bürgerrechtsentzug zielt nämlich nicht auf die gewalttätige extremistische Ideologie der verurteilten </w:t>
      </w:r>
      <w:proofErr w:type="gramStart"/>
      <w:r w:rsidRPr="0046220B">
        <w:rPr>
          <w:rFonts w:eastAsia="Times New Roman" w:cstheme="minorHAnsi"/>
          <w:color w:val="000000" w:themeColor="text1"/>
          <w:szCs w:val="20"/>
          <w:lang w:eastAsia="de-DE"/>
        </w:rPr>
        <w:t>Täter:innen</w:t>
      </w:r>
      <w:proofErr w:type="gramEnd"/>
      <w:r w:rsidRPr="0046220B">
        <w:rPr>
          <w:rFonts w:eastAsia="Times New Roman" w:cstheme="minorHAnsi"/>
          <w:color w:val="000000" w:themeColor="text1"/>
          <w:szCs w:val="20"/>
          <w:lang w:eastAsia="de-DE"/>
        </w:rPr>
        <w:t xml:space="preserve">. Als repressive Maßnahme leitet sie ihre Legitimation aus der Sicherheitsperspektive </w:t>
      </w:r>
      <w:r w:rsidR="00B26DFB">
        <w:rPr>
          <w:rFonts w:eastAsia="Times New Roman" w:cstheme="minorHAnsi"/>
          <w:color w:val="000000" w:themeColor="text1"/>
          <w:szCs w:val="20"/>
          <w:lang w:eastAsia="de-DE"/>
        </w:rPr>
        <w:t>ab</w:t>
      </w:r>
      <w:r w:rsidRPr="0046220B">
        <w:rPr>
          <w:rFonts w:eastAsia="Times New Roman" w:cstheme="minorHAnsi"/>
          <w:color w:val="000000" w:themeColor="text1"/>
          <w:szCs w:val="20"/>
          <w:lang w:eastAsia="de-DE"/>
        </w:rPr>
        <w:t xml:space="preserve"> (vgl. Mehra 2024). Um jedoch eine individuelle kognitive Distanzierung zu erreichen, ist eine Auseinandersetzung mit der Ideologie und ein Aufbau von identitätsbildenden und alternativen Lebensumständen unverzichtbar (vgl. Walkenhorst, Ruf 2018; Mehra 2024).</w:t>
      </w:r>
    </w:p>
    <w:p w14:paraId="790034CE" w14:textId="39B2ECF7" w:rsidR="003C268C" w:rsidRPr="0046220B" w:rsidRDefault="009F5912" w:rsidP="009F5912">
      <w:pPr>
        <w:pStyle w:val="3Ebene"/>
      </w:pPr>
      <w:bookmarkStart w:id="61" w:name="_Toc188272782"/>
      <w:bookmarkStart w:id="62" w:name="_Toc195609717"/>
      <w:r>
        <w:t xml:space="preserve">4.5.4 </w:t>
      </w:r>
      <w:r w:rsidR="003C268C" w:rsidRPr="0046220B">
        <w:t>Prekärer Status nach Bürgerrechtsentzug</w:t>
      </w:r>
      <w:bookmarkEnd w:id="61"/>
      <w:bookmarkEnd w:id="62"/>
      <w:r w:rsidR="003C268C" w:rsidRPr="0046220B">
        <w:t xml:space="preserve"> </w:t>
      </w:r>
    </w:p>
    <w:p w14:paraId="17F6BCE6" w14:textId="73E6A259" w:rsidR="003C268C" w:rsidRPr="0046220B" w:rsidRDefault="003C268C" w:rsidP="00C525A9">
      <w:pPr>
        <w:pStyle w:val="StandardWeb"/>
        <w:shd w:val="clear" w:color="auto" w:fill="FFFFFF"/>
        <w:spacing w:before="0" w:beforeAutospacing="0" w:after="0" w:afterAutospacing="0" w:line="276" w:lineRule="auto"/>
        <w:jc w:val="both"/>
        <w:rPr>
          <w:rFonts w:asciiTheme="minorHAnsi" w:hAnsiTheme="minorHAnsi" w:cstheme="minorHAnsi"/>
          <w:color w:val="000000" w:themeColor="text1"/>
          <w:sz w:val="22"/>
          <w:szCs w:val="22"/>
        </w:rPr>
      </w:pPr>
      <w:r w:rsidRPr="0046220B">
        <w:rPr>
          <w:rFonts w:asciiTheme="minorHAnsi" w:hAnsiTheme="minorHAnsi" w:cstheme="minorHAnsi"/>
          <w:color w:val="000000" w:themeColor="text1"/>
          <w:sz w:val="22"/>
          <w:szCs w:val="22"/>
        </w:rPr>
        <w:t>In der Praxis stellen sich neben der rechtmäßigen Durchsetzbarkeit des Bürgerrechtsentzugs Fragen aus Präventionswarte. Dabei gilt es die in Kap</w:t>
      </w:r>
      <w:r w:rsidR="00105D05">
        <w:rPr>
          <w:rFonts w:asciiTheme="minorHAnsi" w:hAnsiTheme="minorHAnsi" w:cstheme="minorHAnsi"/>
          <w:color w:val="000000" w:themeColor="text1"/>
          <w:sz w:val="22"/>
          <w:szCs w:val="22"/>
        </w:rPr>
        <w:t>itel</w:t>
      </w:r>
      <w:r w:rsidRPr="0046220B">
        <w:rPr>
          <w:rFonts w:asciiTheme="minorHAnsi" w:hAnsiTheme="minorHAnsi" w:cstheme="minorHAnsi"/>
          <w:color w:val="000000" w:themeColor="text1"/>
          <w:sz w:val="22"/>
          <w:szCs w:val="22"/>
        </w:rPr>
        <w:t xml:space="preserve"> 3.3.5 skizzierten Fallbeispiele in Erinnerung zu rufen. Insbesondere durch die Schaffung von </w:t>
      </w:r>
      <w:r w:rsidR="0097690D" w:rsidRPr="001674F2">
        <w:rPr>
          <w:rFonts w:asciiTheme="minorHAnsi" w:hAnsiTheme="minorHAnsi" w:cstheme="minorHAnsi"/>
          <w:sz w:val="22"/>
          <w:szCs w:val="22"/>
        </w:rPr>
        <w:t>„</w:t>
      </w:r>
      <w:r w:rsidRPr="0046220B">
        <w:rPr>
          <w:rFonts w:asciiTheme="minorHAnsi" w:hAnsiTheme="minorHAnsi" w:cstheme="minorHAnsi"/>
          <w:color w:val="000000" w:themeColor="text1"/>
          <w:sz w:val="22"/>
          <w:szCs w:val="22"/>
        </w:rPr>
        <w:t xml:space="preserve">nicht ausweisbaren </w:t>
      </w:r>
      <w:proofErr w:type="gramStart"/>
      <w:r w:rsidRPr="0046220B">
        <w:rPr>
          <w:rFonts w:asciiTheme="minorHAnsi" w:hAnsiTheme="minorHAnsi" w:cstheme="minorHAnsi"/>
          <w:color w:val="000000" w:themeColor="text1"/>
          <w:sz w:val="22"/>
          <w:szCs w:val="22"/>
        </w:rPr>
        <w:t>Ausländer:innen</w:t>
      </w:r>
      <w:proofErr w:type="gramEnd"/>
      <w:r w:rsidRPr="0046220B">
        <w:rPr>
          <w:rFonts w:asciiTheme="minorHAnsi" w:hAnsiTheme="minorHAnsi" w:cstheme="minorHAnsi"/>
          <w:color w:val="000000" w:themeColor="text1"/>
          <w:sz w:val="22"/>
          <w:szCs w:val="22"/>
        </w:rPr>
        <w:t xml:space="preserve"> ohne geregelte[n] Aufenthaltsstatus</w:t>
      </w:r>
      <w:r w:rsidR="00635AD3" w:rsidRPr="001674F2">
        <w:rPr>
          <w:rFonts w:asciiTheme="minorHAnsi" w:hAnsiTheme="minorHAnsi" w:cstheme="minorHAnsi"/>
          <w:sz w:val="22"/>
          <w:szCs w:val="22"/>
        </w:rPr>
        <w:t>“</w:t>
      </w:r>
      <w:r w:rsidRPr="0046220B">
        <w:rPr>
          <w:rFonts w:asciiTheme="minorHAnsi" w:hAnsiTheme="minorHAnsi" w:cstheme="minorHAnsi"/>
          <w:color w:val="000000" w:themeColor="text1"/>
          <w:sz w:val="22"/>
          <w:szCs w:val="22"/>
        </w:rPr>
        <w:t xml:space="preserve"> ergeben sich in der Praxis komplexe Herausforderungen für die Präventionsarbeit (vgl. Benton, Banulescu-Bogdan 2019; Achermann 2015:21).</w:t>
      </w:r>
    </w:p>
    <w:p w14:paraId="6FB972FB" w14:textId="4E224FF6" w:rsidR="003C268C" w:rsidRPr="0046220B" w:rsidRDefault="003C268C" w:rsidP="003C268C">
      <w:pPr>
        <w:pStyle w:val="StandardWeb"/>
        <w:shd w:val="clear" w:color="auto" w:fill="FFFFFF"/>
        <w:spacing w:line="276" w:lineRule="auto"/>
        <w:jc w:val="both"/>
        <w:rPr>
          <w:rFonts w:asciiTheme="minorHAnsi" w:hAnsiTheme="minorHAnsi" w:cstheme="minorHAnsi"/>
          <w:color w:val="000000" w:themeColor="text1"/>
          <w:sz w:val="22"/>
          <w:szCs w:val="22"/>
        </w:rPr>
      </w:pPr>
      <w:r w:rsidRPr="0046220B">
        <w:rPr>
          <w:rFonts w:asciiTheme="minorHAnsi" w:hAnsiTheme="minorHAnsi" w:cstheme="minorHAnsi"/>
          <w:color w:val="000000" w:themeColor="text1"/>
          <w:sz w:val="22"/>
          <w:szCs w:val="22"/>
        </w:rPr>
        <w:t xml:space="preserve">Für einen Distanzierungsprozess und eine Wiedereingliederung sind stabilisierende Lebensumstände zentral (vgl. Fabris in: Schwarzenegger, Reinhard 2019: 76; Glaser, Müller, Taubert in: Slama, Kemmesies 2020: 471-504). Durch eine Ausbürgerung mit einem gleichzeitigen Verbleib im ehemaligen Heimatstaat ohne ein geregeltes Aufenthaltsrecht geraten </w:t>
      </w:r>
      <w:proofErr w:type="gramStart"/>
      <w:r w:rsidRPr="0046220B">
        <w:rPr>
          <w:rFonts w:asciiTheme="minorHAnsi" w:hAnsiTheme="minorHAnsi" w:cstheme="minorHAnsi"/>
          <w:color w:val="000000" w:themeColor="text1"/>
          <w:sz w:val="22"/>
          <w:szCs w:val="22"/>
        </w:rPr>
        <w:t>Täter:innen</w:t>
      </w:r>
      <w:proofErr w:type="gramEnd"/>
      <w:r w:rsidRPr="0046220B">
        <w:rPr>
          <w:rFonts w:asciiTheme="minorHAnsi" w:hAnsiTheme="minorHAnsi" w:cstheme="minorHAnsi"/>
          <w:color w:val="000000" w:themeColor="text1"/>
          <w:sz w:val="22"/>
          <w:szCs w:val="22"/>
        </w:rPr>
        <w:t xml:space="preserve"> in eine prekäre Lebenssituation. Es ist davon auszugehen, dass der unsichere Status der betroffenen Person negative Auswirkungen auf zahlreiche Lebensbereiche haben wird. Denkbar sind finanzielle Nöte, Schwierigkeiten am Arbeitsplatz, Hindernisse auf dem Wohnungsmarkt sowie soziale Ausgrenzung</w:t>
      </w:r>
      <w:r w:rsidRPr="0046220B">
        <w:rPr>
          <w:rFonts w:asciiTheme="minorHAnsi" w:hAnsiTheme="minorHAnsi" w:cstheme="minorHAnsi"/>
          <w:color w:val="000000" w:themeColor="text1"/>
          <w:sz w:val="22"/>
          <w:szCs w:val="20"/>
        </w:rPr>
        <w:t>. Die daraus resultierende Perspektivlosigkeit kann einen weiteren Radika</w:t>
      </w:r>
      <w:r w:rsidR="00EB352F" w:rsidRPr="0046220B">
        <w:rPr>
          <w:rFonts w:asciiTheme="minorHAnsi" w:hAnsiTheme="minorHAnsi" w:cstheme="minorHAnsi"/>
          <w:color w:val="000000" w:themeColor="text1"/>
          <w:sz w:val="22"/>
          <w:szCs w:val="20"/>
        </w:rPr>
        <w:t>l</w:t>
      </w:r>
      <w:r w:rsidRPr="0046220B">
        <w:rPr>
          <w:rFonts w:asciiTheme="minorHAnsi" w:hAnsiTheme="minorHAnsi" w:cstheme="minorHAnsi"/>
          <w:color w:val="000000" w:themeColor="text1"/>
          <w:sz w:val="22"/>
          <w:szCs w:val="20"/>
        </w:rPr>
        <w:t xml:space="preserve">isierungsverlauf begünstigen (vgl. </w:t>
      </w:r>
      <w:r w:rsidRPr="0046220B">
        <w:rPr>
          <w:rFonts w:asciiTheme="minorHAnsi" w:hAnsiTheme="minorHAnsi" w:cstheme="minorHAnsi"/>
          <w:color w:val="000000" w:themeColor="text1"/>
          <w:sz w:val="22"/>
          <w:szCs w:val="22"/>
        </w:rPr>
        <w:t>Bolhuis, van Wijk 2020</w:t>
      </w:r>
      <w:r w:rsidRPr="0046220B">
        <w:rPr>
          <w:rFonts w:asciiTheme="minorHAnsi" w:hAnsiTheme="minorHAnsi" w:cstheme="minorHAnsi"/>
          <w:color w:val="000000" w:themeColor="text1"/>
          <w:sz w:val="22"/>
          <w:szCs w:val="20"/>
        </w:rPr>
        <w:t>: 363)</w:t>
      </w:r>
    </w:p>
    <w:p w14:paraId="387D0690" w14:textId="1AF61D1A" w:rsidR="003C268C" w:rsidRPr="0046220B" w:rsidRDefault="009F5912" w:rsidP="009F5912">
      <w:pPr>
        <w:pStyle w:val="3Ebene"/>
      </w:pPr>
      <w:bookmarkStart w:id="63" w:name="_Toc188272783"/>
      <w:bookmarkStart w:id="64" w:name="_Toc195609718"/>
      <w:r>
        <w:t xml:space="preserve">4.5.5 </w:t>
      </w:r>
      <w:r w:rsidR="003C268C" w:rsidRPr="0046220B">
        <w:t>Verantwortung der Staatengemeinschaft</w:t>
      </w:r>
      <w:bookmarkEnd w:id="63"/>
      <w:bookmarkEnd w:id="64"/>
      <w:r w:rsidR="003C268C" w:rsidRPr="0046220B">
        <w:t xml:space="preserve"> </w:t>
      </w:r>
    </w:p>
    <w:p w14:paraId="2F719410" w14:textId="36052892" w:rsidR="003C268C" w:rsidRPr="0046220B" w:rsidRDefault="003C268C" w:rsidP="003C268C">
      <w:pPr>
        <w:spacing w:before="120" w:line="276" w:lineRule="auto"/>
        <w:jc w:val="both"/>
        <w:rPr>
          <w:rFonts w:cstheme="minorHAnsi"/>
          <w:color w:val="000000" w:themeColor="text1"/>
        </w:rPr>
      </w:pPr>
      <w:r w:rsidRPr="0046220B">
        <w:rPr>
          <w:rFonts w:cstheme="minorHAnsi"/>
          <w:color w:val="000000" w:themeColor="text1"/>
        </w:rPr>
        <w:t>Aufgabe des Staat</w:t>
      </w:r>
      <w:r w:rsidR="00B34405">
        <w:rPr>
          <w:rFonts w:cstheme="minorHAnsi"/>
          <w:color w:val="000000" w:themeColor="text1"/>
        </w:rPr>
        <w:t>e</w:t>
      </w:r>
      <w:r w:rsidRPr="0046220B">
        <w:rPr>
          <w:rFonts w:cstheme="minorHAnsi"/>
          <w:color w:val="000000" w:themeColor="text1"/>
        </w:rPr>
        <w:t xml:space="preserve">s ist es, seine </w:t>
      </w:r>
      <w:proofErr w:type="gramStart"/>
      <w:r w:rsidRPr="0046220B">
        <w:rPr>
          <w:rFonts w:cstheme="minorHAnsi"/>
          <w:color w:val="000000" w:themeColor="text1"/>
        </w:rPr>
        <w:t>Bürger:innen</w:t>
      </w:r>
      <w:proofErr w:type="gramEnd"/>
      <w:r w:rsidRPr="0046220B">
        <w:rPr>
          <w:rFonts w:cstheme="minorHAnsi"/>
          <w:color w:val="000000" w:themeColor="text1"/>
        </w:rPr>
        <w:t xml:space="preserve"> vor Extremismus und Terrorismus zu schützen und die Demokratie zu wahren (vgl. Center for Security Studies 2009: 1-3; Eidgenössisches Departement für auswärtige Angelegenheiten o.</w:t>
      </w:r>
      <w:r w:rsidR="00B34405">
        <w:rPr>
          <w:rFonts w:cstheme="minorHAnsi"/>
          <w:color w:val="000000" w:themeColor="text1"/>
        </w:rPr>
        <w:t xml:space="preserve"> </w:t>
      </w:r>
      <w:r w:rsidRPr="0046220B">
        <w:rPr>
          <w:rFonts w:cstheme="minorHAnsi"/>
          <w:color w:val="000000" w:themeColor="text1"/>
        </w:rPr>
        <w:t xml:space="preserve">J.). Auch der </w:t>
      </w:r>
      <w:r w:rsidRPr="001674F2">
        <w:rPr>
          <w:rFonts w:cstheme="minorHAnsi"/>
          <w:i/>
          <w:iCs/>
          <w:color w:val="000000" w:themeColor="text1"/>
        </w:rPr>
        <w:t>Nationale Aktionsplan der Schweiz gegen Radikalisierung und Extremismus 2023–2027</w:t>
      </w:r>
      <w:r w:rsidRPr="0046220B">
        <w:rPr>
          <w:rFonts w:cstheme="minorHAnsi"/>
          <w:color w:val="000000" w:themeColor="text1"/>
        </w:rPr>
        <w:t xml:space="preserve"> unterstreicht die Verantwortung des Staates in Bezug auf die Radikalisierungsprävention (vgl. Sicherheitsverbund Schweiz SVS o.</w:t>
      </w:r>
      <w:r w:rsidR="00B34405">
        <w:rPr>
          <w:rFonts w:cstheme="minorHAnsi"/>
          <w:color w:val="000000" w:themeColor="text1"/>
        </w:rPr>
        <w:t xml:space="preserve"> </w:t>
      </w:r>
      <w:r w:rsidRPr="0046220B">
        <w:rPr>
          <w:rFonts w:cstheme="minorHAnsi"/>
          <w:color w:val="000000" w:themeColor="text1"/>
        </w:rPr>
        <w:t xml:space="preserve">J.: 10). Daraus leitet sich eine </w:t>
      </w:r>
      <w:r w:rsidRPr="0046220B">
        <w:rPr>
          <w:rFonts w:cstheme="minorHAnsi"/>
          <w:color w:val="000000" w:themeColor="text1"/>
        </w:rPr>
        <w:lastRenderedPageBreak/>
        <w:t xml:space="preserve">staatliche Verpflichtung ab, auch für </w:t>
      </w:r>
      <w:proofErr w:type="gramStart"/>
      <w:r w:rsidRPr="0046220B">
        <w:rPr>
          <w:rFonts w:cstheme="minorHAnsi"/>
          <w:color w:val="000000" w:themeColor="text1"/>
        </w:rPr>
        <w:t>Bürger:innen</w:t>
      </w:r>
      <w:proofErr w:type="gramEnd"/>
      <w:r w:rsidRPr="0046220B">
        <w:rPr>
          <w:rFonts w:cstheme="minorHAnsi"/>
          <w:color w:val="000000" w:themeColor="text1"/>
        </w:rPr>
        <w:t xml:space="preserve"> Verantwortung zu übernehmen, die sich entgegen dem demokratischen Wertekonsens radikalisiert haben. Diesem Radikalisierungsprozess gilt es durch Angebote der Distanzierungsarbeit und der Wiedereingliederung entgegenzuwirken (vgl. Dangeleit 2023; Mc Millan o.</w:t>
      </w:r>
      <w:r w:rsidR="009549A0">
        <w:rPr>
          <w:rFonts w:cstheme="minorHAnsi"/>
          <w:color w:val="000000" w:themeColor="text1"/>
        </w:rPr>
        <w:t xml:space="preserve"> </w:t>
      </w:r>
      <w:r w:rsidRPr="0046220B">
        <w:rPr>
          <w:rFonts w:cstheme="minorHAnsi"/>
          <w:color w:val="000000" w:themeColor="text1"/>
        </w:rPr>
        <w:t>J.; Jikhareva in: WOZ 2019).</w:t>
      </w:r>
    </w:p>
    <w:p w14:paraId="3349E3CF" w14:textId="29C1B6B6" w:rsidR="003C268C" w:rsidRPr="0046220B" w:rsidRDefault="003C268C" w:rsidP="003C268C">
      <w:pPr>
        <w:spacing w:before="120" w:line="276" w:lineRule="auto"/>
        <w:jc w:val="both"/>
        <w:rPr>
          <w:rFonts w:cstheme="minorHAnsi"/>
          <w:color w:val="000000" w:themeColor="text1"/>
        </w:rPr>
      </w:pPr>
      <w:r w:rsidRPr="0046220B">
        <w:rPr>
          <w:rFonts w:cstheme="minorHAnsi"/>
          <w:color w:val="000000" w:themeColor="text1"/>
        </w:rPr>
        <w:t xml:space="preserve">Um die globale Sicherheit zu gewährleisten, ist die internationale Zusammenarbeit in die grenzüberschreitende Terror- und Extremismusbekämpfung unverzichtbar. Entzieht ein Staat </w:t>
      </w:r>
      <w:proofErr w:type="gramStart"/>
      <w:r w:rsidRPr="0046220B">
        <w:rPr>
          <w:rFonts w:cstheme="minorHAnsi"/>
          <w:color w:val="000000" w:themeColor="text1"/>
        </w:rPr>
        <w:t>einem:einer</w:t>
      </w:r>
      <w:proofErr w:type="gramEnd"/>
      <w:r w:rsidRPr="0046220B">
        <w:rPr>
          <w:rFonts w:cstheme="minorHAnsi"/>
          <w:color w:val="000000" w:themeColor="text1"/>
        </w:rPr>
        <w:t xml:space="preserve"> terroristischen und/oder extremistischen Straftäter:in das Bürgerrecht, so mag dies kurzfristig zur Verbesserung der inneren Sicherheit des entsprechenden Staates beitragen. Die Folgen für die internationale Sicherheit sind allerdings beachtlich. Aus internationaler Perspektive ist durch den Bürgerrechtsentzug und eine Ausweisung in einen anderen Staat tendenziell mit einer Zunahme des Sicherheitsrisikos zu rechnen. Die ausgewiesene Person verliert ihre stabilisierenden Lebensumstände, was als radikalisierungstreibender Faktor gewertet werden kann. Durch den Bürgerrechtsentzug werden die sicherheitspolitischen Interessen des eigenen Staates über die globale Verantwortung in der Terrorbekämpfung gestellt. Ein Staat nimmt seine Verantwortung gegenüber internationalen </w:t>
      </w:r>
      <w:proofErr w:type="gramStart"/>
      <w:r w:rsidRPr="0046220B">
        <w:rPr>
          <w:rFonts w:cstheme="minorHAnsi"/>
          <w:color w:val="000000" w:themeColor="text1"/>
        </w:rPr>
        <w:t>Partner:innen</w:t>
      </w:r>
      <w:proofErr w:type="gramEnd"/>
      <w:r w:rsidRPr="0046220B">
        <w:rPr>
          <w:rFonts w:cstheme="minorHAnsi"/>
          <w:color w:val="000000" w:themeColor="text1"/>
        </w:rPr>
        <w:t xml:space="preserve"> nicht oder nur in geringem </w:t>
      </w:r>
      <w:r w:rsidR="00786D85" w:rsidRPr="0046220B">
        <w:rPr>
          <w:rFonts w:cstheme="minorHAnsi"/>
          <w:color w:val="000000" w:themeColor="text1"/>
        </w:rPr>
        <w:t>Ausmaß</w:t>
      </w:r>
      <w:r w:rsidRPr="0046220B">
        <w:rPr>
          <w:rFonts w:cstheme="minorHAnsi"/>
          <w:color w:val="000000" w:themeColor="text1"/>
        </w:rPr>
        <w:t xml:space="preserve"> wahr, wenn er sich unliebsame</w:t>
      </w:r>
      <w:r w:rsidR="00421630">
        <w:rPr>
          <w:rFonts w:cstheme="minorHAnsi"/>
          <w:color w:val="000000" w:themeColor="text1"/>
        </w:rPr>
        <w:t>r</w:t>
      </w:r>
      <w:r w:rsidRPr="0046220B">
        <w:rPr>
          <w:rFonts w:cstheme="minorHAnsi"/>
          <w:color w:val="000000" w:themeColor="text1"/>
        </w:rPr>
        <w:t xml:space="preserve"> </w:t>
      </w:r>
      <w:proofErr w:type="gramStart"/>
      <w:r w:rsidRPr="0046220B">
        <w:rPr>
          <w:rFonts w:cstheme="minorHAnsi"/>
          <w:color w:val="000000" w:themeColor="text1"/>
        </w:rPr>
        <w:t>Bürger:innen</w:t>
      </w:r>
      <w:proofErr w:type="gramEnd"/>
      <w:r w:rsidRPr="0046220B">
        <w:rPr>
          <w:rFonts w:cstheme="minorHAnsi"/>
          <w:color w:val="000000" w:themeColor="text1"/>
        </w:rPr>
        <w:t xml:space="preserve"> – insbesondere extremistische</w:t>
      </w:r>
      <w:r w:rsidR="00421630">
        <w:rPr>
          <w:rFonts w:cstheme="minorHAnsi"/>
          <w:color w:val="000000" w:themeColor="text1"/>
        </w:rPr>
        <w:t>r</w:t>
      </w:r>
      <w:r w:rsidRPr="0046220B">
        <w:rPr>
          <w:rFonts w:cstheme="minorHAnsi"/>
          <w:color w:val="000000" w:themeColor="text1"/>
        </w:rPr>
        <w:t xml:space="preserve"> und/oder radikale</w:t>
      </w:r>
      <w:r w:rsidR="00421630">
        <w:rPr>
          <w:rFonts w:cstheme="minorHAnsi"/>
          <w:color w:val="000000" w:themeColor="text1"/>
        </w:rPr>
        <w:t>r</w:t>
      </w:r>
      <w:r w:rsidRPr="0046220B">
        <w:rPr>
          <w:rFonts w:cstheme="minorHAnsi"/>
          <w:color w:val="000000" w:themeColor="text1"/>
        </w:rPr>
        <w:t xml:space="preserve"> </w:t>
      </w:r>
      <w:proofErr w:type="gramStart"/>
      <w:r w:rsidRPr="0046220B">
        <w:rPr>
          <w:rFonts w:cstheme="minorHAnsi"/>
          <w:color w:val="000000" w:themeColor="text1"/>
        </w:rPr>
        <w:t>Straftäter:innen</w:t>
      </w:r>
      <w:proofErr w:type="gramEnd"/>
      <w:r w:rsidRPr="0046220B">
        <w:rPr>
          <w:rFonts w:cstheme="minorHAnsi"/>
          <w:color w:val="000000" w:themeColor="text1"/>
        </w:rPr>
        <w:t xml:space="preserve"> – auf pragmatische Weise durch Bürgerrechtsentzug entledigt. Entscheiden sich mehrere Staaten für dieses Vorgehen, so entsteht ein Wettlauf, welchem Staat es schneller gelingt, </w:t>
      </w:r>
      <w:proofErr w:type="gramStart"/>
      <w:r w:rsidRPr="0046220B">
        <w:rPr>
          <w:rFonts w:cstheme="minorHAnsi"/>
          <w:color w:val="000000" w:themeColor="text1"/>
        </w:rPr>
        <w:t>Straftäter:innen</w:t>
      </w:r>
      <w:proofErr w:type="gramEnd"/>
      <w:r w:rsidRPr="0046220B">
        <w:rPr>
          <w:rFonts w:cstheme="minorHAnsi"/>
          <w:color w:val="000000" w:themeColor="text1"/>
        </w:rPr>
        <w:t xml:space="preserve"> mit Doppelbürgerschaft auszubürgern und die von ihnen ausgehende Gefahr einem anderen Staat oder der internationalen Gemeinschaft </w:t>
      </w:r>
      <w:r w:rsidR="00ED7C97">
        <w:rPr>
          <w:rFonts w:cstheme="minorHAnsi"/>
          <w:color w:val="000000" w:themeColor="text1"/>
        </w:rPr>
        <w:t>aufzu</w:t>
      </w:r>
      <w:r w:rsidRPr="0046220B">
        <w:rPr>
          <w:rFonts w:cstheme="minorHAnsi"/>
          <w:color w:val="000000" w:themeColor="text1"/>
        </w:rPr>
        <w:t xml:space="preserve">bürden (vgl. von Rütte 2023: 30). Unbeachtet bleibt dabei, dass </w:t>
      </w:r>
      <w:r w:rsidRPr="0046220B">
        <w:rPr>
          <w:rFonts w:eastAsia="Times New Roman" w:cstheme="minorHAnsi"/>
          <w:color w:val="000000" w:themeColor="text1"/>
          <w:szCs w:val="20"/>
          <w:lang w:eastAsia="de-DE"/>
        </w:rPr>
        <w:t xml:space="preserve">dem Staat auf dessen Territorium sich eine Person radikalisiert hat, eine Verantwortung bezüglich der Distanzierung und Reintegration zukommt </w:t>
      </w:r>
      <w:r w:rsidRPr="0046220B">
        <w:rPr>
          <w:rFonts w:cstheme="minorHAnsi"/>
          <w:color w:val="000000" w:themeColor="text1"/>
        </w:rPr>
        <w:t>(vgl. McMillan o.J, Marti 2024).</w:t>
      </w:r>
    </w:p>
    <w:p w14:paraId="34B5464E" w14:textId="669D2CBB" w:rsidR="003C268C" w:rsidRPr="0046220B" w:rsidRDefault="003C268C" w:rsidP="003C268C">
      <w:pPr>
        <w:spacing w:before="120" w:line="276" w:lineRule="auto"/>
        <w:jc w:val="both"/>
        <w:rPr>
          <w:rFonts w:cstheme="minorHAnsi"/>
          <w:color w:val="000000" w:themeColor="text1"/>
        </w:rPr>
      </w:pPr>
      <w:r w:rsidRPr="0046220B">
        <w:rPr>
          <w:rFonts w:cstheme="minorHAnsi"/>
          <w:color w:val="000000" w:themeColor="text1"/>
        </w:rPr>
        <w:t>Mit Blick auf die internationale Verantwortung der Staatengemeinschaft ist das in Kap</w:t>
      </w:r>
      <w:r w:rsidR="00ED7C97">
        <w:rPr>
          <w:rFonts w:cstheme="minorHAnsi"/>
          <w:color w:val="000000" w:themeColor="text1"/>
        </w:rPr>
        <w:t>itel</w:t>
      </w:r>
      <w:r w:rsidRPr="0046220B">
        <w:rPr>
          <w:rFonts w:cstheme="minorHAnsi"/>
          <w:color w:val="000000" w:themeColor="text1"/>
        </w:rPr>
        <w:t xml:space="preserve"> 3.2.3 erläuterte völkerrechtlich begründete Konzept des </w:t>
      </w:r>
      <w:r w:rsidR="00ED7C97">
        <w:t>„</w:t>
      </w:r>
      <w:r w:rsidRPr="0046220B">
        <w:rPr>
          <w:rFonts w:cstheme="minorHAnsi"/>
          <w:color w:val="000000" w:themeColor="text1"/>
        </w:rPr>
        <w:t>genuine link</w:t>
      </w:r>
      <w:r w:rsidR="00AC385F">
        <w:t>“</w:t>
      </w:r>
      <w:r w:rsidRPr="0046220B">
        <w:rPr>
          <w:rFonts w:cstheme="minorHAnsi"/>
          <w:color w:val="000000" w:themeColor="text1"/>
        </w:rPr>
        <w:t xml:space="preserve"> auch mit Blick auf die Präventionsarbeit relevant. Der </w:t>
      </w:r>
      <w:r w:rsidR="002F3AE1">
        <w:t>„</w:t>
      </w:r>
      <w:r w:rsidRPr="0046220B">
        <w:rPr>
          <w:rFonts w:cstheme="minorHAnsi"/>
          <w:color w:val="000000" w:themeColor="text1"/>
        </w:rPr>
        <w:t>genuine link</w:t>
      </w:r>
      <w:r w:rsidR="00AC385F">
        <w:t>“</w:t>
      </w:r>
      <w:r w:rsidRPr="0046220B">
        <w:rPr>
          <w:rFonts w:cstheme="minorHAnsi"/>
          <w:color w:val="000000" w:themeColor="text1"/>
        </w:rPr>
        <w:t xml:space="preserve"> besagt, dass </w:t>
      </w:r>
      <w:proofErr w:type="gramStart"/>
      <w:r w:rsidRPr="0046220B">
        <w:rPr>
          <w:rFonts w:cstheme="minorHAnsi"/>
          <w:color w:val="000000" w:themeColor="text1"/>
        </w:rPr>
        <w:t>Bürger:innen</w:t>
      </w:r>
      <w:proofErr w:type="gramEnd"/>
      <w:r w:rsidRPr="0046220B">
        <w:rPr>
          <w:rFonts w:cstheme="minorHAnsi"/>
          <w:color w:val="000000" w:themeColor="text1"/>
        </w:rPr>
        <w:t xml:space="preserve"> zu dem Staat, dessen Bürgerrecht sie besitzen, ein besonderes Näheverhältnis haben, das über einen Bürgerrechtsentzug hinweg bestehen bleibt. Somit widerspricht der Bürgerrechtsentzug dem Konzept des </w:t>
      </w:r>
      <w:r w:rsidR="002F3AE1">
        <w:t>„</w:t>
      </w:r>
      <w:r w:rsidRPr="0046220B">
        <w:rPr>
          <w:rFonts w:cstheme="minorHAnsi"/>
          <w:color w:val="000000" w:themeColor="text1"/>
        </w:rPr>
        <w:t>genuine link</w:t>
      </w:r>
      <w:r w:rsidR="009277C4">
        <w:t>“</w:t>
      </w:r>
      <w:r w:rsidRPr="0046220B">
        <w:rPr>
          <w:rFonts w:cstheme="minorHAnsi"/>
          <w:color w:val="000000" w:themeColor="text1"/>
        </w:rPr>
        <w:t xml:space="preserve">, da der Staat dieses besondere Näheverhältnis nicht kappen kann. Der </w:t>
      </w:r>
      <w:r w:rsidR="00546037">
        <w:t>„</w:t>
      </w:r>
      <w:r w:rsidRPr="0046220B">
        <w:rPr>
          <w:rFonts w:cstheme="minorHAnsi"/>
          <w:color w:val="000000" w:themeColor="text1"/>
        </w:rPr>
        <w:t>genuine link</w:t>
      </w:r>
      <w:r w:rsidR="009277C4">
        <w:t>“</w:t>
      </w:r>
      <w:r w:rsidRPr="0046220B">
        <w:rPr>
          <w:rFonts w:cstheme="minorHAnsi"/>
          <w:color w:val="000000" w:themeColor="text1"/>
        </w:rPr>
        <w:t xml:space="preserve"> unterstreicht damit die Relevanz der Präventionsarbeit. Wird eine Person in einen Staat ausgewiesen</w:t>
      </w:r>
      <w:r w:rsidRPr="0046220B">
        <w:rPr>
          <w:rFonts w:eastAsia="Times New Roman" w:cstheme="minorHAnsi"/>
          <w:color w:val="000000" w:themeColor="text1"/>
          <w:szCs w:val="20"/>
          <w:lang w:eastAsia="de-DE"/>
        </w:rPr>
        <w:t>, in dem sie keinen alltäglichen Lebensbezug hat (Sprachkenntnisse, finanzielle Sicherheit, Arbeit, soziales Umfeld etc.) so steigt aufgrund dieser destabilisierenden Faktoren das Risiko einer zunehmenden Radikalisierung.</w:t>
      </w:r>
    </w:p>
    <w:p w14:paraId="2956EA77" w14:textId="36C9EAC2" w:rsidR="003C268C" w:rsidRPr="0046220B" w:rsidRDefault="003C268C" w:rsidP="003C268C">
      <w:pPr>
        <w:spacing w:before="120" w:line="276" w:lineRule="auto"/>
        <w:jc w:val="both"/>
        <w:rPr>
          <w:rFonts w:cstheme="minorHAnsi"/>
          <w:color w:val="000000" w:themeColor="text1"/>
        </w:rPr>
      </w:pPr>
      <w:r w:rsidRPr="0046220B">
        <w:rPr>
          <w:rFonts w:cstheme="minorHAnsi"/>
          <w:color w:val="000000" w:themeColor="text1"/>
        </w:rPr>
        <w:t xml:space="preserve">Aus Perspektive der Präventionsarbeit kann sich das Sicherheitsrisiko des Bürgerrechtsentzugs durch zwei weitere Faktoren </w:t>
      </w:r>
      <w:r w:rsidR="001C0F4F">
        <w:rPr>
          <w:rFonts w:cstheme="minorHAnsi"/>
          <w:color w:val="000000" w:themeColor="text1"/>
        </w:rPr>
        <w:t>erhöhen</w:t>
      </w:r>
      <w:r w:rsidRPr="0046220B">
        <w:rPr>
          <w:rFonts w:cstheme="minorHAnsi"/>
          <w:color w:val="000000" w:themeColor="text1"/>
        </w:rPr>
        <w:t>:</w:t>
      </w:r>
    </w:p>
    <w:p w14:paraId="066D9FB1" w14:textId="3B235E14" w:rsidR="003C268C" w:rsidRPr="0046220B" w:rsidRDefault="003C268C" w:rsidP="003C268C">
      <w:pPr>
        <w:spacing w:before="120" w:line="276" w:lineRule="auto"/>
        <w:jc w:val="both"/>
        <w:rPr>
          <w:rFonts w:cstheme="minorHAnsi"/>
          <w:color w:val="000000" w:themeColor="text1"/>
        </w:rPr>
      </w:pPr>
      <w:r w:rsidRPr="0046220B">
        <w:rPr>
          <w:rFonts w:cstheme="minorHAnsi"/>
          <w:color w:val="000000" w:themeColor="text1"/>
        </w:rPr>
        <w:t xml:space="preserve">Ein erster Faktor betrifft die Umsetzung der Reintegration nach </w:t>
      </w:r>
      <w:r w:rsidR="00786D85" w:rsidRPr="0046220B">
        <w:rPr>
          <w:rFonts w:cstheme="minorHAnsi"/>
          <w:color w:val="000000" w:themeColor="text1"/>
        </w:rPr>
        <w:t>verbüßter</w:t>
      </w:r>
      <w:r w:rsidRPr="0046220B">
        <w:rPr>
          <w:rFonts w:cstheme="minorHAnsi"/>
          <w:color w:val="000000" w:themeColor="text1"/>
        </w:rPr>
        <w:t xml:space="preserve"> Strafe. Kernaufgabe des Strafvollzugs ist die Resozialisierung (vgl. Schweizerisches Kompetenzzentrum für den Justizvollzug </w:t>
      </w:r>
      <w:r w:rsidR="007224F6">
        <w:rPr>
          <w:rFonts w:cstheme="minorHAnsi"/>
          <w:color w:val="000000" w:themeColor="text1"/>
        </w:rPr>
        <w:br/>
      </w:r>
      <w:r w:rsidRPr="0046220B">
        <w:rPr>
          <w:rFonts w:cstheme="minorHAnsi"/>
          <w:color w:val="000000" w:themeColor="text1"/>
        </w:rPr>
        <w:t>o.</w:t>
      </w:r>
      <w:r w:rsidR="008B33B9">
        <w:rPr>
          <w:rFonts w:cstheme="minorHAnsi"/>
          <w:color w:val="000000" w:themeColor="text1"/>
        </w:rPr>
        <w:t xml:space="preserve"> </w:t>
      </w:r>
      <w:r w:rsidRPr="0046220B">
        <w:rPr>
          <w:rFonts w:cstheme="minorHAnsi"/>
          <w:color w:val="000000" w:themeColor="text1"/>
        </w:rPr>
        <w:t>J.). Im Regelfall findet d</w:t>
      </w:r>
      <w:r w:rsidR="00EB352F" w:rsidRPr="0046220B">
        <w:rPr>
          <w:rFonts w:cstheme="minorHAnsi"/>
          <w:color w:val="000000" w:themeColor="text1"/>
        </w:rPr>
        <w:t xml:space="preserve">er Vollzug </w:t>
      </w:r>
      <w:r w:rsidRPr="0046220B">
        <w:rPr>
          <w:rFonts w:cstheme="minorHAnsi"/>
          <w:color w:val="000000" w:themeColor="text1"/>
        </w:rPr>
        <w:t xml:space="preserve">der Strafe im </w:t>
      </w:r>
      <w:r w:rsidR="001C0F4F">
        <w:rPr>
          <w:rFonts w:cstheme="minorHAnsi"/>
          <w:color w:val="000000" w:themeColor="text1"/>
        </w:rPr>
        <w:t>Staat</w:t>
      </w:r>
      <w:r w:rsidR="001C0F4F" w:rsidRPr="0046220B">
        <w:rPr>
          <w:rFonts w:cstheme="minorHAnsi"/>
          <w:color w:val="000000" w:themeColor="text1"/>
        </w:rPr>
        <w:t xml:space="preserve"> </w:t>
      </w:r>
      <w:r w:rsidRPr="0046220B">
        <w:rPr>
          <w:rFonts w:cstheme="minorHAnsi"/>
          <w:color w:val="000000" w:themeColor="text1"/>
        </w:rPr>
        <w:t xml:space="preserve">der Verurteilung statt. </w:t>
      </w:r>
      <w:r w:rsidRPr="0046220B">
        <w:rPr>
          <w:rFonts w:eastAsia="Times New Roman" w:cstheme="minorHAnsi"/>
          <w:color w:val="000000" w:themeColor="text1"/>
          <w:szCs w:val="20"/>
          <w:lang w:eastAsia="de-DE"/>
        </w:rPr>
        <w:t xml:space="preserve">Wird eine Person also in der Schweiz verurteilt, so wird die Strafe in einer Schweizer Justizvollzugsanstalt </w:t>
      </w:r>
      <w:r w:rsidR="00EB352F" w:rsidRPr="0046220B">
        <w:rPr>
          <w:rFonts w:eastAsia="Times New Roman" w:cstheme="minorHAnsi"/>
          <w:color w:val="000000" w:themeColor="text1"/>
          <w:szCs w:val="20"/>
          <w:lang w:eastAsia="de-DE"/>
        </w:rPr>
        <w:t>vollzogen</w:t>
      </w:r>
      <w:r w:rsidRPr="0046220B">
        <w:rPr>
          <w:rFonts w:eastAsia="Times New Roman" w:cstheme="minorHAnsi"/>
          <w:color w:val="000000" w:themeColor="text1"/>
          <w:szCs w:val="20"/>
          <w:lang w:eastAsia="de-DE"/>
        </w:rPr>
        <w:t xml:space="preserve">. Eine Wegweisung kann erst nach der </w:t>
      </w:r>
      <w:r w:rsidR="00786D85" w:rsidRPr="0046220B">
        <w:rPr>
          <w:rFonts w:eastAsia="Times New Roman" w:cstheme="minorHAnsi"/>
          <w:color w:val="000000" w:themeColor="text1"/>
          <w:szCs w:val="20"/>
          <w:lang w:eastAsia="de-DE"/>
        </w:rPr>
        <w:t>verbüßten</w:t>
      </w:r>
      <w:r w:rsidRPr="0046220B">
        <w:rPr>
          <w:rFonts w:eastAsia="Times New Roman" w:cstheme="minorHAnsi"/>
          <w:color w:val="000000" w:themeColor="text1"/>
          <w:szCs w:val="20"/>
          <w:lang w:eastAsia="de-DE"/>
        </w:rPr>
        <w:t xml:space="preserve"> Strafe erfolgen. Nun könnte argumentiert werden, dass der Staat seine Verantwortung der Distanzierung und Reintegration wahrnimmt, indem er diese durch Angebote der Tertiärprävention im Rahmen des Strafvollzugs abdeckt. Dies trifft allerdings nur bedingt zu. Denn: Die Resozialisierung kann nicht gelingen, wenn eine Person nach </w:t>
      </w:r>
      <w:r w:rsidR="00786D85" w:rsidRPr="0046220B">
        <w:rPr>
          <w:rFonts w:eastAsia="Times New Roman" w:cstheme="minorHAnsi"/>
          <w:color w:val="000000" w:themeColor="text1"/>
          <w:szCs w:val="20"/>
          <w:lang w:eastAsia="de-DE"/>
        </w:rPr>
        <w:t>verbüßter</w:t>
      </w:r>
      <w:r w:rsidRPr="0046220B">
        <w:rPr>
          <w:rFonts w:eastAsia="Times New Roman" w:cstheme="minorHAnsi"/>
          <w:color w:val="000000" w:themeColor="text1"/>
          <w:szCs w:val="20"/>
          <w:lang w:eastAsia="de-DE"/>
        </w:rPr>
        <w:t xml:space="preserve"> Strafe aus dem Land ausgewiesen wird. Stabilisierende Maßnahmen wie </w:t>
      </w:r>
      <w:r w:rsidR="00FB056A">
        <w:rPr>
          <w:rFonts w:eastAsia="Times New Roman" w:cstheme="minorHAnsi"/>
          <w:color w:val="000000" w:themeColor="text1"/>
          <w:szCs w:val="20"/>
          <w:lang w:eastAsia="de-DE"/>
        </w:rPr>
        <w:t>Arbeits</w:t>
      </w:r>
      <w:r w:rsidRPr="0046220B">
        <w:rPr>
          <w:rFonts w:eastAsia="Times New Roman" w:cstheme="minorHAnsi"/>
          <w:color w:val="000000" w:themeColor="text1"/>
          <w:szCs w:val="20"/>
          <w:lang w:eastAsia="de-DE"/>
        </w:rPr>
        <w:t xml:space="preserve">suche, Wohnungsvermittlung oder </w:t>
      </w:r>
      <w:r w:rsidRPr="0046220B">
        <w:rPr>
          <w:rFonts w:eastAsia="Times New Roman" w:cstheme="minorHAnsi"/>
          <w:color w:val="000000" w:themeColor="text1"/>
          <w:szCs w:val="20"/>
          <w:lang w:eastAsia="de-DE"/>
        </w:rPr>
        <w:lastRenderedPageBreak/>
        <w:t>Organisation von Freizeitbeschäftigungen nach Austritt aus der Justizvollzugsanstalt können nicht organisiert werden, da die Person nach Austritt aus der Justizvollzugsanstalt das Land verlassen muss. Diese fehlende Reintegration im Rahmen des Strafvollzugs birgt demnach die Gefahr einer zunehmenden Radikalisierung, da die alternativen identitätsstiftenden Lebensinhalte, die für eine erfolgreiche Distanzierung notwendig sind, nicht erarbeitet werden können (vgl. Mehra 2024).</w:t>
      </w:r>
    </w:p>
    <w:p w14:paraId="3693EF37" w14:textId="4F7EE806" w:rsidR="003C268C" w:rsidRPr="0046220B" w:rsidRDefault="003C268C" w:rsidP="003C268C">
      <w:pPr>
        <w:spacing w:before="120" w:line="276" w:lineRule="auto"/>
        <w:jc w:val="both"/>
        <w:rPr>
          <w:rFonts w:cstheme="minorHAnsi"/>
          <w:color w:val="000000" w:themeColor="text1"/>
        </w:rPr>
      </w:pPr>
      <w:r w:rsidRPr="0046220B">
        <w:rPr>
          <w:rFonts w:cstheme="minorHAnsi"/>
          <w:color w:val="000000" w:themeColor="text1"/>
        </w:rPr>
        <w:t>Ein zweiter Faktor betrifft die Verfügbarkeit von Präventionsprogrammen im auszuweisenden Staat. Sollte</w:t>
      </w:r>
      <w:r w:rsidR="00EC3F85">
        <w:rPr>
          <w:rFonts w:cstheme="minorHAnsi"/>
          <w:color w:val="000000" w:themeColor="text1"/>
        </w:rPr>
        <w:t>n</w:t>
      </w:r>
      <w:r w:rsidRPr="0046220B">
        <w:rPr>
          <w:rFonts w:cstheme="minorHAnsi"/>
          <w:color w:val="000000" w:themeColor="text1"/>
        </w:rPr>
        <w:t xml:space="preserve"> in diesem Staat keine oder </w:t>
      </w:r>
      <w:r w:rsidR="00786D85" w:rsidRPr="0046220B">
        <w:rPr>
          <w:rFonts w:cstheme="minorHAnsi"/>
          <w:color w:val="000000" w:themeColor="text1"/>
        </w:rPr>
        <w:t>bloß</w:t>
      </w:r>
      <w:r w:rsidRPr="0046220B">
        <w:rPr>
          <w:rFonts w:cstheme="minorHAnsi"/>
          <w:color w:val="000000" w:themeColor="text1"/>
        </w:rPr>
        <w:t xml:space="preserve"> unzureichende Maßnahmen der Distanzierung und Wiedereingliederung existieren, so ist davon auszugehen, dass die betroffene Person erneut in einem radikalen Umfeld Anschluss suchen wird und der Radikalisierungsprozess dadurch beschleunigt wird (vgl. Mehra 2024; Bolhuis, van Wijk 2020: 364 f</w:t>
      </w:r>
      <w:r w:rsidR="001C0F4F">
        <w:rPr>
          <w:rFonts w:cstheme="minorHAnsi"/>
          <w:color w:val="000000" w:themeColor="text1"/>
        </w:rPr>
        <w:t>.</w:t>
      </w:r>
      <w:r w:rsidRPr="0046220B">
        <w:rPr>
          <w:rFonts w:cstheme="minorHAnsi"/>
          <w:color w:val="000000" w:themeColor="text1"/>
        </w:rPr>
        <w:t>).</w:t>
      </w:r>
    </w:p>
    <w:p w14:paraId="644CE75F" w14:textId="1BA1DF19" w:rsidR="003C268C" w:rsidRPr="0046220B" w:rsidRDefault="003C268C" w:rsidP="003C268C">
      <w:pPr>
        <w:spacing w:before="120" w:line="276" w:lineRule="auto"/>
        <w:jc w:val="both"/>
        <w:rPr>
          <w:rFonts w:cstheme="minorHAnsi"/>
          <w:color w:val="000000" w:themeColor="text1"/>
        </w:rPr>
      </w:pPr>
      <w:r w:rsidRPr="0046220B">
        <w:rPr>
          <w:rFonts w:cstheme="minorHAnsi"/>
          <w:color w:val="000000" w:themeColor="text1"/>
        </w:rPr>
        <w:t xml:space="preserve">Zusammenfassend verlagert ein Staat durch den Bürgerrechtsentzug das </w:t>
      </w:r>
      <w:r w:rsidR="00EC3F85">
        <w:t>„</w:t>
      </w:r>
      <w:r w:rsidRPr="0046220B">
        <w:rPr>
          <w:rFonts w:cstheme="minorHAnsi"/>
          <w:color w:val="000000" w:themeColor="text1"/>
        </w:rPr>
        <w:t>Problem</w:t>
      </w:r>
      <w:r w:rsidR="009357B4">
        <w:t>“</w:t>
      </w:r>
      <w:r w:rsidRPr="0046220B">
        <w:rPr>
          <w:rFonts w:cstheme="minorHAnsi"/>
          <w:color w:val="000000" w:themeColor="text1"/>
        </w:rPr>
        <w:t xml:space="preserve"> [die </w:t>
      </w:r>
      <w:proofErr w:type="gramStart"/>
      <w:r w:rsidRPr="0046220B">
        <w:rPr>
          <w:rFonts w:cstheme="minorHAnsi"/>
          <w:color w:val="000000" w:themeColor="text1"/>
        </w:rPr>
        <w:t>Täter:innen</w:t>
      </w:r>
      <w:proofErr w:type="gramEnd"/>
      <w:r w:rsidRPr="0046220B">
        <w:rPr>
          <w:rFonts w:cstheme="minorHAnsi"/>
          <w:color w:val="000000" w:themeColor="text1"/>
        </w:rPr>
        <w:t>] in einen Zweitstaat</w:t>
      </w:r>
      <w:r w:rsidR="009357B4">
        <w:rPr>
          <w:rFonts w:cstheme="minorHAnsi"/>
          <w:color w:val="000000" w:themeColor="text1"/>
        </w:rPr>
        <w:t>,</w:t>
      </w:r>
      <w:r w:rsidRPr="0046220B">
        <w:rPr>
          <w:rFonts w:cstheme="minorHAnsi"/>
          <w:color w:val="000000" w:themeColor="text1"/>
        </w:rPr>
        <w:t xml:space="preserve"> ohne die Ursachen der Radikalisierung durch Distanzierungsangebote zu bekämpfen (vgl. Bolhuis, van Wijk 2020: 364 f.). Somit bestehen aus Perspektive der Präventionsarbeit Zweifel an der Geeignetheit der Maßnahme des Bürgerrechtsentzugs zur Verbesserung der inneren Sicherheit.</w:t>
      </w:r>
    </w:p>
    <w:p w14:paraId="755511E8" w14:textId="4278EE45" w:rsidR="003C268C" w:rsidRPr="0046220B" w:rsidRDefault="009F5912" w:rsidP="009F5912">
      <w:pPr>
        <w:pStyle w:val="3Ebene"/>
      </w:pPr>
      <w:bookmarkStart w:id="65" w:name="_Toc188272784"/>
      <w:bookmarkStart w:id="66" w:name="_Toc195609719"/>
      <w:r>
        <w:t xml:space="preserve">4.5.6 </w:t>
      </w:r>
      <w:r w:rsidR="003C268C" w:rsidRPr="0046220B">
        <w:t>Zwischenfazit</w:t>
      </w:r>
      <w:bookmarkEnd w:id="65"/>
      <w:bookmarkEnd w:id="66"/>
    </w:p>
    <w:p w14:paraId="5B9CEEC9" w14:textId="77777777" w:rsidR="003C268C" w:rsidRPr="0046220B" w:rsidRDefault="003C268C" w:rsidP="003C268C">
      <w:pPr>
        <w:spacing w:before="120" w:line="276" w:lineRule="auto"/>
        <w:jc w:val="both"/>
        <w:rPr>
          <w:rFonts w:eastAsia="Times New Roman" w:cstheme="minorHAnsi"/>
          <w:color w:val="000000" w:themeColor="text1"/>
          <w:szCs w:val="20"/>
          <w:lang w:eastAsia="de-DE"/>
        </w:rPr>
      </w:pPr>
      <w:r w:rsidRPr="0046220B">
        <w:rPr>
          <w:rFonts w:eastAsia="Times New Roman" w:cstheme="minorHAnsi"/>
          <w:color w:val="000000" w:themeColor="text1"/>
          <w:szCs w:val="20"/>
          <w:lang w:eastAsia="de-DE"/>
        </w:rPr>
        <w:t xml:space="preserve">Aus der Präventionsperspektive ist der Bürgerrechtsentzug ein wenig geeignetes Mittel zur Gewährleistung der inneren Sicherheit. Er adressiert die eigentliche Ursache – das ideologische Gedankengut der </w:t>
      </w:r>
      <w:proofErr w:type="gramStart"/>
      <w:r w:rsidRPr="0046220B">
        <w:rPr>
          <w:rFonts w:eastAsia="Times New Roman" w:cstheme="minorHAnsi"/>
          <w:color w:val="000000" w:themeColor="text1"/>
          <w:szCs w:val="20"/>
          <w:lang w:eastAsia="de-DE"/>
        </w:rPr>
        <w:t>Täter:innen</w:t>
      </w:r>
      <w:proofErr w:type="gramEnd"/>
      <w:r w:rsidRPr="0046220B">
        <w:rPr>
          <w:rFonts w:eastAsia="Times New Roman" w:cstheme="minorHAnsi"/>
          <w:color w:val="000000" w:themeColor="text1"/>
          <w:szCs w:val="20"/>
          <w:lang w:eastAsia="de-DE"/>
        </w:rPr>
        <w:t xml:space="preserve"> – nicht. Als pönale und repressive Maßnahme verfehlt er damit das Ziel der Extremismusprävention weitgehend.</w:t>
      </w:r>
    </w:p>
    <w:p w14:paraId="2E817873" w14:textId="77777777" w:rsidR="003C268C" w:rsidRPr="0046220B" w:rsidRDefault="003C268C" w:rsidP="003C268C">
      <w:pPr>
        <w:spacing w:before="120" w:line="276" w:lineRule="auto"/>
        <w:jc w:val="both"/>
        <w:rPr>
          <w:rFonts w:eastAsia="Times New Roman" w:cstheme="minorHAnsi"/>
          <w:color w:val="000000" w:themeColor="text1"/>
          <w:szCs w:val="20"/>
          <w:lang w:eastAsia="de-DE"/>
        </w:rPr>
      </w:pPr>
      <w:r w:rsidRPr="0046220B">
        <w:rPr>
          <w:rFonts w:eastAsia="Times New Roman" w:cstheme="minorHAnsi"/>
          <w:color w:val="000000" w:themeColor="text1"/>
          <w:szCs w:val="20"/>
          <w:lang w:eastAsia="de-DE"/>
        </w:rPr>
        <w:t>Der Bürgerrechtsentzug als Maßnahme der Tertiärprävention birgt folgende Hindernisse:</w:t>
      </w:r>
    </w:p>
    <w:p w14:paraId="37F6AF0A" w14:textId="7860827C" w:rsidR="003C268C" w:rsidRPr="0046220B" w:rsidRDefault="003C268C" w:rsidP="003C268C">
      <w:pPr>
        <w:spacing w:before="120" w:line="276" w:lineRule="auto"/>
        <w:jc w:val="both"/>
        <w:rPr>
          <w:rFonts w:eastAsia="Times New Roman" w:cstheme="minorHAnsi"/>
          <w:color w:val="000000" w:themeColor="text1"/>
          <w:szCs w:val="20"/>
          <w:lang w:eastAsia="de-DE"/>
        </w:rPr>
      </w:pPr>
      <w:r w:rsidRPr="0046220B">
        <w:rPr>
          <w:rFonts w:eastAsia="Times New Roman" w:cstheme="minorHAnsi"/>
          <w:color w:val="000000" w:themeColor="text1"/>
          <w:szCs w:val="20"/>
          <w:lang w:eastAsia="de-DE"/>
        </w:rPr>
        <w:t xml:space="preserve">(1) Die engen Voraussetzungen für den Bürgerrechtsentzug haben zur Folge, dass die Maßnahme als diskriminierend wahrgenommen werden kann. Eine wahrgenommene Diskriminierung kann den Radikalisierungsprozess einer Person beschleunigen. (2) Betreffend die Geeignetheit des Bürgerrechtsentzugs aus Präventionsperspektive besteht ein Spannungsfeld zwischen der Sicherheitsperspektive und </w:t>
      </w:r>
      <w:r w:rsidR="000C6575">
        <w:rPr>
          <w:rFonts w:eastAsia="Times New Roman" w:cstheme="minorHAnsi"/>
          <w:color w:val="000000" w:themeColor="text1"/>
          <w:szCs w:val="20"/>
          <w:lang w:eastAsia="de-DE"/>
        </w:rPr>
        <w:t xml:space="preserve">den </w:t>
      </w:r>
      <w:r w:rsidRPr="0046220B">
        <w:rPr>
          <w:rFonts w:eastAsia="Times New Roman" w:cstheme="minorHAnsi"/>
          <w:color w:val="000000" w:themeColor="text1"/>
          <w:szCs w:val="20"/>
          <w:lang w:eastAsia="de-DE"/>
        </w:rPr>
        <w:t xml:space="preserve">Präventionsgrundsätzen. Der Bürgerrechtsentzug hat eine repressive Wirkung. Diese steht im Widerspruch zu Präventionsgrundsätzen, die auf das Individuum fokussieren und die Ursachen der Radikalisierung sowie die Auseinandersetzung mit den ideologischen Inhalten adressieren. Zudem birgt eine einseitige Sicherheitsperspektive die Gefahr, dass (sozial-)pädagogische Maßnahmen der Prävention wenig priorisiert werden und so die zugrundeliegenden Ursachen der Radikalisierung nicht adressiert werden. (3) Der Bürgerrechtsentzug schafft einen potenziell prekären Aufenthaltsstatus. Insbesondere in Bezug auf die Zielgruppe der </w:t>
      </w:r>
      <w:r w:rsidR="00371A97">
        <w:t>„</w:t>
      </w:r>
      <w:r w:rsidRPr="0046220B">
        <w:rPr>
          <w:rFonts w:eastAsia="Times New Roman" w:cstheme="minorHAnsi"/>
          <w:color w:val="000000" w:themeColor="text1"/>
          <w:szCs w:val="20"/>
          <w:lang w:eastAsia="de-DE"/>
        </w:rPr>
        <w:t xml:space="preserve">nicht wegweisbaren </w:t>
      </w:r>
      <w:proofErr w:type="gramStart"/>
      <w:r w:rsidRPr="0046220B">
        <w:rPr>
          <w:rFonts w:eastAsia="Times New Roman" w:cstheme="minorHAnsi"/>
          <w:color w:val="000000" w:themeColor="text1"/>
          <w:szCs w:val="20"/>
          <w:lang w:eastAsia="de-DE"/>
        </w:rPr>
        <w:t>Ausländer:innen</w:t>
      </w:r>
      <w:proofErr w:type="gramEnd"/>
      <w:r w:rsidRPr="0046220B">
        <w:rPr>
          <w:rFonts w:eastAsia="Times New Roman" w:cstheme="minorHAnsi"/>
          <w:color w:val="000000" w:themeColor="text1"/>
          <w:szCs w:val="20"/>
          <w:lang w:eastAsia="de-DE"/>
        </w:rPr>
        <w:t xml:space="preserve"> ohne geregelte[n] Aufenthaltsstatus</w:t>
      </w:r>
      <w:r w:rsidR="005E5E19">
        <w:t>“</w:t>
      </w:r>
      <w:r w:rsidRPr="0046220B">
        <w:rPr>
          <w:rFonts w:eastAsia="Times New Roman" w:cstheme="minorHAnsi"/>
          <w:color w:val="000000" w:themeColor="text1"/>
          <w:szCs w:val="20"/>
          <w:lang w:eastAsia="de-DE"/>
        </w:rPr>
        <w:t xml:space="preserve"> bedeutet dies aus Präventionsperspektive ein Risiko. Die aus dem unsicheren Aufenthaltsstatus resultierenden destabilisierenden Lebensumstände </w:t>
      </w:r>
      <w:r w:rsidR="001C0F4F">
        <w:rPr>
          <w:rFonts w:eastAsia="Times New Roman" w:cstheme="minorHAnsi"/>
          <w:color w:val="000000" w:themeColor="text1"/>
          <w:szCs w:val="20"/>
          <w:lang w:eastAsia="de-DE"/>
        </w:rPr>
        <w:t xml:space="preserve">können </w:t>
      </w:r>
      <w:r w:rsidRPr="0046220B">
        <w:rPr>
          <w:rFonts w:eastAsia="Times New Roman" w:cstheme="minorHAnsi"/>
          <w:color w:val="000000" w:themeColor="text1"/>
          <w:szCs w:val="20"/>
          <w:lang w:eastAsia="de-DE"/>
        </w:rPr>
        <w:t>eine zunehmende Radikalisierung</w:t>
      </w:r>
      <w:r w:rsidR="001C0F4F">
        <w:rPr>
          <w:rFonts w:eastAsia="Times New Roman" w:cstheme="minorHAnsi"/>
          <w:color w:val="000000" w:themeColor="text1"/>
          <w:szCs w:val="20"/>
          <w:lang w:eastAsia="de-DE"/>
        </w:rPr>
        <w:t xml:space="preserve"> </w:t>
      </w:r>
      <w:r w:rsidR="001C0F4F" w:rsidRPr="0046220B">
        <w:rPr>
          <w:rFonts w:eastAsia="Times New Roman" w:cstheme="minorHAnsi"/>
          <w:color w:val="000000" w:themeColor="text1"/>
          <w:szCs w:val="20"/>
          <w:lang w:eastAsia="de-DE"/>
        </w:rPr>
        <w:t>begünstigen</w:t>
      </w:r>
      <w:r w:rsidRPr="0046220B">
        <w:rPr>
          <w:rFonts w:eastAsia="Times New Roman" w:cstheme="minorHAnsi"/>
          <w:color w:val="000000" w:themeColor="text1"/>
          <w:szCs w:val="20"/>
          <w:lang w:eastAsia="de-DE"/>
        </w:rPr>
        <w:t xml:space="preserve">. (4) Betreffend die Verantwortung der Staatengemeinschaft zeigt die Analyse, dass die Wahrnehmung einer kurzfristig positiven Auswirkung auf die innere Sicherheit durch den Bürgerrechtsentzugs und die damit verbundene Wegweisung täuscht. Insbesondere die Sicherheitslage der internationalen Staatengemeinschaft wird durch die Maßnahme nicht gefördert. Die Verantwortung für die </w:t>
      </w:r>
      <w:proofErr w:type="gramStart"/>
      <w:r w:rsidRPr="0046220B">
        <w:rPr>
          <w:rFonts w:eastAsia="Times New Roman" w:cstheme="minorHAnsi"/>
          <w:color w:val="000000" w:themeColor="text1"/>
          <w:szCs w:val="20"/>
          <w:lang w:eastAsia="de-DE"/>
        </w:rPr>
        <w:t>Täter:innen</w:t>
      </w:r>
      <w:proofErr w:type="gramEnd"/>
      <w:r w:rsidRPr="0046220B">
        <w:rPr>
          <w:rFonts w:eastAsia="Times New Roman" w:cstheme="minorHAnsi"/>
          <w:color w:val="000000" w:themeColor="text1"/>
          <w:szCs w:val="20"/>
          <w:lang w:eastAsia="de-DE"/>
        </w:rPr>
        <w:t xml:space="preserve"> liegt bei den Staaten, in denen sich die </w:t>
      </w:r>
      <w:proofErr w:type="gramStart"/>
      <w:r w:rsidRPr="0046220B">
        <w:rPr>
          <w:rFonts w:eastAsia="Times New Roman" w:cstheme="minorHAnsi"/>
          <w:color w:val="000000" w:themeColor="text1"/>
          <w:szCs w:val="20"/>
          <w:lang w:eastAsia="de-DE"/>
        </w:rPr>
        <w:t>Täter:innen</w:t>
      </w:r>
      <w:proofErr w:type="gramEnd"/>
      <w:r w:rsidRPr="0046220B">
        <w:rPr>
          <w:rFonts w:eastAsia="Times New Roman" w:cstheme="minorHAnsi"/>
          <w:color w:val="000000" w:themeColor="text1"/>
          <w:szCs w:val="20"/>
          <w:lang w:eastAsia="de-DE"/>
        </w:rPr>
        <w:t xml:space="preserve"> radikalisiert haben. Somit obliegt ihnen die Aufgabe, die Distanzierung und Reintegration der </w:t>
      </w:r>
      <w:proofErr w:type="gramStart"/>
      <w:r w:rsidRPr="0046220B">
        <w:rPr>
          <w:rFonts w:eastAsia="Times New Roman" w:cstheme="minorHAnsi"/>
          <w:color w:val="000000" w:themeColor="text1"/>
          <w:szCs w:val="20"/>
          <w:lang w:eastAsia="de-DE"/>
        </w:rPr>
        <w:t>Straftäter:innen</w:t>
      </w:r>
      <w:proofErr w:type="gramEnd"/>
      <w:r w:rsidRPr="0046220B">
        <w:rPr>
          <w:rFonts w:eastAsia="Times New Roman" w:cstheme="minorHAnsi"/>
          <w:color w:val="000000" w:themeColor="text1"/>
          <w:szCs w:val="20"/>
          <w:lang w:eastAsia="de-DE"/>
        </w:rPr>
        <w:t xml:space="preserve"> sicherzustellen. Radikalisiert sich eine Person etwa in der Schweiz, so trägt die </w:t>
      </w:r>
      <w:r w:rsidRPr="0046220B">
        <w:rPr>
          <w:rFonts w:eastAsia="Times New Roman" w:cstheme="minorHAnsi"/>
          <w:color w:val="000000" w:themeColor="text1"/>
          <w:szCs w:val="20"/>
          <w:lang w:eastAsia="de-DE"/>
        </w:rPr>
        <w:lastRenderedPageBreak/>
        <w:t xml:space="preserve">Schweiz die Verantwortung für griffige Distanzierungsangebote und ist gehalten, die betroffene Person bei </w:t>
      </w:r>
      <w:r w:rsidR="00FC0FD1">
        <w:rPr>
          <w:rFonts w:eastAsia="Times New Roman" w:cstheme="minorHAnsi"/>
          <w:color w:val="000000" w:themeColor="text1"/>
          <w:szCs w:val="20"/>
          <w:lang w:eastAsia="de-DE"/>
        </w:rPr>
        <w:t>ihr</w:t>
      </w:r>
      <w:r w:rsidRPr="0046220B">
        <w:rPr>
          <w:rFonts w:eastAsia="Times New Roman" w:cstheme="minorHAnsi"/>
          <w:color w:val="000000" w:themeColor="text1"/>
          <w:szCs w:val="20"/>
          <w:lang w:eastAsia="de-DE"/>
        </w:rPr>
        <w:t>er Reintegration zu begleiten.</w:t>
      </w:r>
    </w:p>
    <w:p w14:paraId="0DA5F59E" w14:textId="4EA8DD97" w:rsidR="003C268C" w:rsidRPr="0046220B" w:rsidRDefault="009F5912" w:rsidP="009F5912">
      <w:pPr>
        <w:pStyle w:val="2Ebene"/>
      </w:pPr>
      <w:bookmarkStart w:id="67" w:name="_Toc167538181"/>
      <w:bookmarkStart w:id="68" w:name="_Toc168494911"/>
      <w:bookmarkStart w:id="69" w:name="_Toc188272785"/>
      <w:bookmarkStart w:id="70" w:name="_Toc195609720"/>
      <w:bookmarkEnd w:id="43"/>
      <w:r>
        <w:t xml:space="preserve">4.6 </w:t>
      </w:r>
      <w:r w:rsidR="003C268C" w:rsidRPr="0046220B">
        <w:t>Alternativen zum Bürgerrechts</w:t>
      </w:r>
      <w:bookmarkEnd w:id="67"/>
      <w:r w:rsidR="003C268C" w:rsidRPr="0046220B">
        <w:t>entzug</w:t>
      </w:r>
      <w:bookmarkEnd w:id="68"/>
      <w:bookmarkEnd w:id="69"/>
      <w:bookmarkEnd w:id="70"/>
    </w:p>
    <w:p w14:paraId="32CC5FDA" w14:textId="176A6111" w:rsidR="003C268C" w:rsidRPr="0046220B" w:rsidRDefault="003C268C" w:rsidP="003C268C">
      <w:pPr>
        <w:spacing w:before="120" w:line="276" w:lineRule="auto"/>
        <w:jc w:val="both"/>
        <w:rPr>
          <w:rFonts w:eastAsia="Times New Roman" w:cstheme="minorHAnsi"/>
          <w:color w:val="000000" w:themeColor="text1"/>
          <w:szCs w:val="20"/>
          <w:lang w:eastAsia="de-DE"/>
        </w:rPr>
      </w:pPr>
      <w:r w:rsidRPr="0046220B">
        <w:rPr>
          <w:rFonts w:eastAsia="Times New Roman" w:cstheme="minorHAnsi"/>
          <w:color w:val="000000" w:themeColor="text1"/>
          <w:szCs w:val="20"/>
          <w:lang w:eastAsia="de-DE"/>
        </w:rPr>
        <w:t xml:space="preserve">Geeignete Alternativen zum Bürgerrechtsentzug sind umfassende Angebote der Prävention, der Distanzierung und </w:t>
      </w:r>
      <w:r w:rsidR="0055537B">
        <w:rPr>
          <w:rFonts w:eastAsia="Times New Roman" w:cstheme="minorHAnsi"/>
          <w:color w:val="000000" w:themeColor="text1"/>
          <w:szCs w:val="20"/>
          <w:lang w:eastAsia="de-DE"/>
        </w:rPr>
        <w:t xml:space="preserve">der </w:t>
      </w:r>
      <w:r w:rsidRPr="0046220B">
        <w:rPr>
          <w:rFonts w:eastAsia="Times New Roman" w:cstheme="minorHAnsi"/>
          <w:color w:val="000000" w:themeColor="text1"/>
          <w:szCs w:val="20"/>
          <w:lang w:eastAsia="de-DE"/>
        </w:rPr>
        <w:t>Wiedereingliederung (vgl. Jikhareva in: WOZ 2019; Mehra 2024). Diese fokussieren auf die Auseinandersetzung mit der Ideologie, die kognitive Distanzierung und zielen auf den Aufbau von Alternativen zum ideologischen Gedankengut und Umfeld. Wie in Kap</w:t>
      </w:r>
      <w:r w:rsidR="00DB1430">
        <w:rPr>
          <w:rFonts w:eastAsia="Times New Roman" w:cstheme="minorHAnsi"/>
          <w:color w:val="000000" w:themeColor="text1"/>
          <w:szCs w:val="20"/>
          <w:lang w:eastAsia="de-DE"/>
        </w:rPr>
        <w:t>itel</w:t>
      </w:r>
      <w:r w:rsidRPr="0046220B">
        <w:rPr>
          <w:rFonts w:eastAsia="Times New Roman" w:cstheme="minorHAnsi"/>
          <w:color w:val="000000" w:themeColor="text1"/>
          <w:szCs w:val="20"/>
          <w:lang w:eastAsia="de-DE"/>
        </w:rPr>
        <w:t xml:space="preserve"> 4.2 dargelegt, umfassen Angebote der Prävention, Distanzierung und Wiedereingliederung Maßnahmen, die zu unterschiedlichen Zeitpunkten Anwendung finden können. </w:t>
      </w:r>
    </w:p>
    <w:p w14:paraId="65860389" w14:textId="671A7741" w:rsidR="003C268C" w:rsidRPr="0046220B" w:rsidRDefault="003C268C" w:rsidP="003C268C">
      <w:pPr>
        <w:spacing w:before="120" w:line="276" w:lineRule="auto"/>
        <w:jc w:val="both"/>
        <w:rPr>
          <w:rFonts w:eastAsia="Times New Roman" w:cstheme="minorHAnsi"/>
          <w:color w:val="000000" w:themeColor="text1"/>
          <w:szCs w:val="20"/>
          <w:lang w:eastAsia="de-DE"/>
        </w:rPr>
      </w:pPr>
      <w:r w:rsidRPr="0046220B">
        <w:rPr>
          <w:rFonts w:eastAsia="Times New Roman" w:cstheme="minorHAnsi"/>
          <w:color w:val="000000" w:themeColor="text1"/>
          <w:szCs w:val="20"/>
          <w:lang w:eastAsia="de-DE"/>
        </w:rPr>
        <w:t>Mit einem Fokus auf das gewählte Fallbeispiel von A.</w:t>
      </w:r>
      <w:r w:rsidR="00005274">
        <w:rPr>
          <w:rFonts w:eastAsia="Times New Roman" w:cstheme="minorHAnsi"/>
          <w:color w:val="000000" w:themeColor="text1"/>
          <w:szCs w:val="20"/>
          <w:lang w:eastAsia="de-DE"/>
        </w:rPr>
        <w:t xml:space="preserve"> </w:t>
      </w:r>
      <w:r w:rsidRPr="0046220B">
        <w:rPr>
          <w:rFonts w:eastAsia="Times New Roman" w:cstheme="minorHAnsi"/>
          <w:color w:val="000000" w:themeColor="text1"/>
          <w:szCs w:val="20"/>
          <w:lang w:eastAsia="de-DE"/>
        </w:rPr>
        <w:t xml:space="preserve">B. und </w:t>
      </w:r>
      <w:r w:rsidR="001D58D8">
        <w:rPr>
          <w:rFonts w:eastAsia="Times New Roman" w:cstheme="minorHAnsi"/>
          <w:color w:val="000000" w:themeColor="text1"/>
          <w:szCs w:val="20"/>
          <w:lang w:eastAsia="de-DE"/>
        </w:rPr>
        <w:t>auf Basis</w:t>
      </w:r>
      <w:r w:rsidRPr="0046220B">
        <w:rPr>
          <w:rFonts w:eastAsia="Times New Roman" w:cstheme="minorHAnsi"/>
          <w:color w:val="000000" w:themeColor="text1"/>
          <w:szCs w:val="20"/>
          <w:lang w:eastAsia="de-DE"/>
        </w:rPr>
        <w:t xml:space="preserve"> der gewonnenen Erkenntnisse könnten als Alternative zum Bürgerrechtsentzug präventive Instrumente Anwendung finden und langfristig erfolgversprechend sein. Folgende Fallbeschreibung illustriert diese mögliche Alternative:</w:t>
      </w:r>
      <w:r w:rsidRPr="0046220B">
        <w:rPr>
          <w:rStyle w:val="Funotenzeichen"/>
          <w:rFonts w:eastAsia="Times New Roman" w:cstheme="minorHAnsi"/>
          <w:color w:val="000000" w:themeColor="text1"/>
          <w:szCs w:val="20"/>
          <w:lang w:eastAsia="de-DE"/>
        </w:rPr>
        <w:footnoteReference w:id="32"/>
      </w:r>
      <w:r w:rsidRPr="0046220B">
        <w:rPr>
          <w:rFonts w:eastAsia="Times New Roman" w:cstheme="minorHAnsi"/>
          <w:color w:val="000000" w:themeColor="text1"/>
          <w:szCs w:val="20"/>
          <w:lang w:eastAsia="de-DE"/>
        </w:rPr>
        <w:t xml:space="preserve"> </w:t>
      </w:r>
    </w:p>
    <w:p w14:paraId="61429AB3" w14:textId="28C7529F" w:rsidR="003C268C" w:rsidRPr="0046220B" w:rsidRDefault="003C268C" w:rsidP="00512032">
      <w:pPr>
        <w:spacing w:before="160" w:line="276" w:lineRule="auto"/>
        <w:ind w:left="709"/>
        <w:jc w:val="both"/>
        <w:rPr>
          <w:rFonts w:eastAsia="Times New Roman" w:cstheme="minorHAnsi"/>
          <w:color w:val="000000" w:themeColor="text1"/>
          <w:sz w:val="20"/>
          <w:szCs w:val="20"/>
          <w:lang w:eastAsia="de-DE"/>
        </w:rPr>
      </w:pPr>
      <w:r w:rsidRPr="0046220B">
        <w:rPr>
          <w:rFonts w:eastAsia="Times New Roman" w:cstheme="minorHAnsi"/>
          <w:color w:val="000000" w:themeColor="text1"/>
          <w:sz w:val="20"/>
          <w:szCs w:val="20"/>
          <w:lang w:eastAsia="de-DE"/>
        </w:rPr>
        <w:t>Im Rahmen der Primärprävention finden bereits im Jugendalter von A.</w:t>
      </w:r>
      <w:r w:rsidR="001D58D8">
        <w:rPr>
          <w:rFonts w:eastAsia="Times New Roman" w:cstheme="minorHAnsi"/>
          <w:color w:val="000000" w:themeColor="text1"/>
          <w:sz w:val="20"/>
          <w:szCs w:val="20"/>
          <w:lang w:eastAsia="de-DE"/>
        </w:rPr>
        <w:t xml:space="preserve"> </w:t>
      </w:r>
      <w:r w:rsidRPr="0046220B">
        <w:rPr>
          <w:rFonts w:eastAsia="Times New Roman" w:cstheme="minorHAnsi"/>
          <w:color w:val="000000" w:themeColor="text1"/>
          <w:sz w:val="20"/>
          <w:szCs w:val="20"/>
          <w:lang w:eastAsia="de-DE"/>
        </w:rPr>
        <w:t>B. Angebote zur Stärkung der Resilienz, der Ambiguitätstoleranz und der Demokratieförderung statt. Damit wird das Selbstvertrauen von A.</w:t>
      </w:r>
      <w:r w:rsidR="001D58D8">
        <w:rPr>
          <w:rFonts w:eastAsia="Times New Roman" w:cstheme="minorHAnsi"/>
          <w:color w:val="000000" w:themeColor="text1"/>
          <w:sz w:val="20"/>
          <w:szCs w:val="20"/>
          <w:lang w:eastAsia="de-DE"/>
        </w:rPr>
        <w:t xml:space="preserve"> </w:t>
      </w:r>
      <w:r w:rsidRPr="0046220B">
        <w:rPr>
          <w:rFonts w:eastAsia="Times New Roman" w:cstheme="minorHAnsi"/>
          <w:color w:val="000000" w:themeColor="text1"/>
          <w:sz w:val="20"/>
          <w:szCs w:val="20"/>
          <w:lang w:eastAsia="de-DE"/>
        </w:rPr>
        <w:t xml:space="preserve">B. gestärkt, wodurch dieser durch die aktive Auseinandersetzung mit seinen eigenen Werten sowie mit dem demokratischen Wertekonsens in der Schweiz seine Identität stärken kann. So wird verhindert, dass extremistische und terroristische Gruppierungen wie </w:t>
      </w:r>
      <w:r w:rsidRPr="001674F2">
        <w:rPr>
          <w:rFonts w:eastAsia="Times New Roman" w:cstheme="minorHAnsi"/>
          <w:i/>
          <w:iCs/>
          <w:color w:val="000000" w:themeColor="text1"/>
          <w:sz w:val="20"/>
          <w:szCs w:val="20"/>
          <w:lang w:eastAsia="de-DE"/>
        </w:rPr>
        <w:t>Al-Qaida</w:t>
      </w:r>
      <w:r w:rsidRPr="0046220B">
        <w:rPr>
          <w:rFonts w:eastAsia="Times New Roman" w:cstheme="minorHAnsi"/>
          <w:color w:val="000000" w:themeColor="text1"/>
          <w:sz w:val="20"/>
          <w:szCs w:val="20"/>
          <w:lang w:eastAsia="de-DE"/>
        </w:rPr>
        <w:t xml:space="preserve"> für A.</w:t>
      </w:r>
      <w:r w:rsidR="000731D0">
        <w:rPr>
          <w:rFonts w:eastAsia="Times New Roman" w:cstheme="minorHAnsi"/>
          <w:color w:val="000000" w:themeColor="text1"/>
          <w:sz w:val="20"/>
          <w:szCs w:val="20"/>
          <w:lang w:eastAsia="de-DE"/>
        </w:rPr>
        <w:t xml:space="preserve"> </w:t>
      </w:r>
      <w:r w:rsidRPr="0046220B">
        <w:rPr>
          <w:rFonts w:eastAsia="Times New Roman" w:cstheme="minorHAnsi"/>
          <w:color w:val="000000" w:themeColor="text1"/>
          <w:sz w:val="20"/>
          <w:szCs w:val="20"/>
          <w:lang w:eastAsia="de-DE"/>
        </w:rPr>
        <w:t>B. an Attraktivität gewinnen. Diese Angebote der Primärprävention finden in Regelstrukturen</w:t>
      </w:r>
      <w:r w:rsidR="00E838E0">
        <w:rPr>
          <w:rFonts w:eastAsia="Times New Roman" w:cstheme="minorHAnsi"/>
          <w:color w:val="000000" w:themeColor="text1"/>
          <w:sz w:val="20"/>
          <w:szCs w:val="20"/>
          <w:lang w:eastAsia="de-DE"/>
        </w:rPr>
        <w:t>,</w:t>
      </w:r>
      <w:r w:rsidRPr="0046220B">
        <w:rPr>
          <w:rFonts w:eastAsia="Times New Roman" w:cstheme="minorHAnsi"/>
          <w:color w:val="000000" w:themeColor="text1"/>
          <w:sz w:val="20"/>
          <w:szCs w:val="20"/>
          <w:lang w:eastAsia="de-DE"/>
        </w:rPr>
        <w:t xml:space="preserve"> wie beispielsweise der Schule</w:t>
      </w:r>
      <w:r w:rsidR="00E838E0">
        <w:rPr>
          <w:rFonts w:eastAsia="Times New Roman" w:cstheme="minorHAnsi"/>
          <w:color w:val="000000" w:themeColor="text1"/>
          <w:sz w:val="20"/>
          <w:szCs w:val="20"/>
          <w:lang w:eastAsia="de-DE"/>
        </w:rPr>
        <w:t>,</w:t>
      </w:r>
      <w:r w:rsidRPr="0046220B">
        <w:rPr>
          <w:rFonts w:eastAsia="Times New Roman" w:cstheme="minorHAnsi"/>
          <w:color w:val="000000" w:themeColor="text1"/>
          <w:sz w:val="20"/>
          <w:szCs w:val="20"/>
          <w:lang w:eastAsia="de-DE"/>
        </w:rPr>
        <w:t xml:space="preserve"> statt und werden ergänzt durch Angebote der offenen Jugendarbeit sowie ggf. durch </w:t>
      </w:r>
      <w:r w:rsidR="000731D0">
        <w:rPr>
          <w:rFonts w:eastAsia="Times New Roman" w:cstheme="minorHAnsi"/>
          <w:color w:val="000000" w:themeColor="text1"/>
          <w:sz w:val="20"/>
          <w:szCs w:val="20"/>
          <w:lang w:eastAsia="de-DE"/>
        </w:rPr>
        <w:t>O</w:t>
      </w:r>
      <w:r w:rsidRPr="0046220B">
        <w:rPr>
          <w:rFonts w:eastAsia="Times New Roman" w:cstheme="minorHAnsi"/>
          <w:color w:val="000000" w:themeColor="text1"/>
          <w:sz w:val="20"/>
          <w:szCs w:val="20"/>
          <w:lang w:eastAsia="de-DE"/>
        </w:rPr>
        <w:t>nline</w:t>
      </w:r>
      <w:r w:rsidR="000731D0">
        <w:rPr>
          <w:rFonts w:eastAsia="Times New Roman" w:cstheme="minorHAnsi"/>
          <w:color w:val="000000" w:themeColor="text1"/>
          <w:sz w:val="20"/>
          <w:szCs w:val="20"/>
          <w:lang w:eastAsia="de-DE"/>
        </w:rPr>
        <w:t>-</w:t>
      </w:r>
      <w:r w:rsidRPr="0046220B">
        <w:rPr>
          <w:rFonts w:eastAsia="Times New Roman" w:cstheme="minorHAnsi"/>
          <w:color w:val="000000" w:themeColor="text1"/>
          <w:sz w:val="20"/>
          <w:szCs w:val="20"/>
          <w:lang w:eastAsia="de-DE"/>
        </w:rPr>
        <w:t xml:space="preserve">Streetwork. Damit kann nicht </w:t>
      </w:r>
      <w:r w:rsidR="00786D85" w:rsidRPr="0046220B">
        <w:rPr>
          <w:rFonts w:eastAsia="Times New Roman" w:cstheme="minorHAnsi"/>
          <w:color w:val="000000" w:themeColor="text1"/>
          <w:sz w:val="20"/>
          <w:szCs w:val="20"/>
          <w:lang w:eastAsia="de-DE"/>
        </w:rPr>
        <w:t>bloß</w:t>
      </w:r>
      <w:r w:rsidRPr="0046220B">
        <w:rPr>
          <w:rFonts w:eastAsia="Times New Roman" w:cstheme="minorHAnsi"/>
          <w:color w:val="000000" w:themeColor="text1"/>
          <w:sz w:val="20"/>
          <w:szCs w:val="20"/>
          <w:lang w:eastAsia="de-DE"/>
        </w:rPr>
        <w:t xml:space="preserve"> A.</w:t>
      </w:r>
      <w:r w:rsidR="000731D0">
        <w:rPr>
          <w:rFonts w:eastAsia="Times New Roman" w:cstheme="minorHAnsi"/>
          <w:color w:val="000000" w:themeColor="text1"/>
          <w:sz w:val="20"/>
          <w:szCs w:val="20"/>
          <w:lang w:eastAsia="de-DE"/>
        </w:rPr>
        <w:t xml:space="preserve"> </w:t>
      </w:r>
      <w:r w:rsidRPr="0046220B">
        <w:rPr>
          <w:rFonts w:eastAsia="Times New Roman" w:cstheme="minorHAnsi"/>
          <w:color w:val="000000" w:themeColor="text1"/>
          <w:sz w:val="20"/>
          <w:szCs w:val="20"/>
          <w:lang w:eastAsia="de-DE"/>
        </w:rPr>
        <w:t>B., sondern eine große Anzahl Jugendlicher erreicht werden. Eine Herausforderung stellt die ländliche Umgebung dar, in der A.</w:t>
      </w:r>
      <w:r w:rsidR="005A1A61">
        <w:rPr>
          <w:rFonts w:eastAsia="Times New Roman" w:cstheme="minorHAnsi"/>
          <w:color w:val="000000" w:themeColor="text1"/>
          <w:sz w:val="20"/>
          <w:szCs w:val="20"/>
          <w:lang w:eastAsia="de-DE"/>
        </w:rPr>
        <w:t xml:space="preserve"> </w:t>
      </w:r>
      <w:r w:rsidRPr="0046220B">
        <w:rPr>
          <w:rFonts w:eastAsia="Times New Roman" w:cstheme="minorHAnsi"/>
          <w:color w:val="000000" w:themeColor="text1"/>
          <w:sz w:val="20"/>
          <w:szCs w:val="20"/>
          <w:lang w:eastAsia="de-DE"/>
        </w:rPr>
        <w:t>B. aufwächst: Angebote der Primärprävention sind dort seltener im Vergleich zur städtischen Umgebung.</w:t>
      </w:r>
    </w:p>
    <w:p w14:paraId="5335AF80" w14:textId="546B9EAD" w:rsidR="003C268C" w:rsidRPr="0046220B" w:rsidRDefault="003C268C" w:rsidP="00512032">
      <w:pPr>
        <w:spacing w:before="160" w:line="276" w:lineRule="auto"/>
        <w:ind w:left="709"/>
        <w:jc w:val="both"/>
        <w:rPr>
          <w:rFonts w:eastAsia="Times New Roman" w:cstheme="minorHAnsi"/>
          <w:color w:val="000000" w:themeColor="text1"/>
          <w:sz w:val="20"/>
          <w:szCs w:val="20"/>
          <w:lang w:eastAsia="de-DE"/>
        </w:rPr>
      </w:pPr>
      <w:r w:rsidRPr="0046220B">
        <w:rPr>
          <w:rFonts w:eastAsia="Times New Roman" w:cstheme="minorHAnsi"/>
          <w:color w:val="000000" w:themeColor="text1"/>
          <w:sz w:val="20"/>
          <w:szCs w:val="20"/>
          <w:lang w:eastAsia="de-DE"/>
        </w:rPr>
        <w:t>Bei aufkommenden Aussagen von A.</w:t>
      </w:r>
      <w:r w:rsidR="005A1A61">
        <w:rPr>
          <w:rFonts w:eastAsia="Times New Roman" w:cstheme="minorHAnsi"/>
          <w:color w:val="000000" w:themeColor="text1"/>
          <w:sz w:val="20"/>
          <w:szCs w:val="20"/>
          <w:lang w:eastAsia="de-DE"/>
        </w:rPr>
        <w:t xml:space="preserve"> </w:t>
      </w:r>
      <w:r w:rsidRPr="0046220B">
        <w:rPr>
          <w:rFonts w:eastAsia="Times New Roman" w:cstheme="minorHAnsi"/>
          <w:color w:val="000000" w:themeColor="text1"/>
          <w:sz w:val="20"/>
          <w:szCs w:val="20"/>
          <w:lang w:eastAsia="de-DE"/>
        </w:rPr>
        <w:t>B. mit radikalem Gedankengut reagieren seine Lehrpersonen unverzüglich und organisieren Angebote der Sekundärprävention. Die Lehrpersonen suchen sich Unterstützung in Form gezielter Angebote z.</w:t>
      </w:r>
      <w:r w:rsidR="005A1A61">
        <w:rPr>
          <w:rFonts w:eastAsia="Times New Roman" w:cstheme="minorHAnsi"/>
          <w:color w:val="000000" w:themeColor="text1"/>
          <w:sz w:val="20"/>
          <w:szCs w:val="20"/>
          <w:lang w:eastAsia="de-DE"/>
        </w:rPr>
        <w:t xml:space="preserve"> </w:t>
      </w:r>
      <w:r w:rsidRPr="0046220B">
        <w:rPr>
          <w:rFonts w:eastAsia="Times New Roman" w:cstheme="minorHAnsi"/>
          <w:color w:val="000000" w:themeColor="text1"/>
          <w:sz w:val="20"/>
          <w:szCs w:val="20"/>
          <w:lang w:eastAsia="de-DE"/>
        </w:rPr>
        <w:t>B. durch einen zivilgesellschaftlichen Träger, der im Rahmen des Schulunterrichts mit der gesamten Klasse Workshops zu Islamismus und antimuslimischem Rassismus durchführt. Parallel zur Arbeit im Klassen</w:t>
      </w:r>
      <w:r w:rsidR="005A1A61">
        <w:rPr>
          <w:rFonts w:eastAsia="Times New Roman" w:cstheme="minorHAnsi"/>
          <w:color w:val="000000" w:themeColor="text1"/>
          <w:sz w:val="20"/>
          <w:szCs w:val="20"/>
          <w:lang w:eastAsia="de-DE"/>
        </w:rPr>
        <w:t>ver</w:t>
      </w:r>
      <w:r w:rsidRPr="0046220B">
        <w:rPr>
          <w:rFonts w:eastAsia="Times New Roman" w:cstheme="minorHAnsi"/>
          <w:color w:val="000000" w:themeColor="text1"/>
          <w:sz w:val="20"/>
          <w:szCs w:val="20"/>
          <w:lang w:eastAsia="de-DE"/>
        </w:rPr>
        <w:t>bund wird A.</w:t>
      </w:r>
      <w:r w:rsidR="005A1A61">
        <w:rPr>
          <w:rFonts w:eastAsia="Times New Roman" w:cstheme="minorHAnsi"/>
          <w:color w:val="000000" w:themeColor="text1"/>
          <w:sz w:val="20"/>
          <w:szCs w:val="20"/>
          <w:lang w:eastAsia="de-DE"/>
        </w:rPr>
        <w:t xml:space="preserve"> </w:t>
      </w:r>
      <w:r w:rsidRPr="0046220B">
        <w:rPr>
          <w:rFonts w:eastAsia="Times New Roman" w:cstheme="minorHAnsi"/>
          <w:color w:val="000000" w:themeColor="text1"/>
          <w:sz w:val="20"/>
          <w:szCs w:val="20"/>
          <w:lang w:eastAsia="de-DE"/>
        </w:rPr>
        <w:t xml:space="preserve">B. durch die </w:t>
      </w:r>
      <w:proofErr w:type="gramStart"/>
      <w:r w:rsidRPr="0046220B">
        <w:rPr>
          <w:rFonts w:eastAsia="Times New Roman" w:cstheme="minorHAnsi"/>
          <w:color w:val="000000" w:themeColor="text1"/>
          <w:sz w:val="20"/>
          <w:szCs w:val="20"/>
          <w:lang w:eastAsia="de-DE"/>
        </w:rPr>
        <w:t>Mitarbeiter:innen</w:t>
      </w:r>
      <w:proofErr w:type="gramEnd"/>
      <w:r w:rsidRPr="0046220B">
        <w:rPr>
          <w:rFonts w:eastAsia="Times New Roman" w:cstheme="minorHAnsi"/>
          <w:color w:val="000000" w:themeColor="text1"/>
          <w:sz w:val="20"/>
          <w:szCs w:val="20"/>
          <w:lang w:eastAsia="de-DE"/>
        </w:rPr>
        <w:t xml:space="preserve"> des zivilgesellschaftlichen Trägers zu einem Einzelgespräch eingeladen. Anlässlich dieses Gesprächs wird abgeklärt, wie stark A.</w:t>
      </w:r>
      <w:r w:rsidR="005A1A61">
        <w:rPr>
          <w:rFonts w:eastAsia="Times New Roman" w:cstheme="minorHAnsi"/>
          <w:color w:val="000000" w:themeColor="text1"/>
          <w:sz w:val="20"/>
          <w:szCs w:val="20"/>
          <w:lang w:eastAsia="de-DE"/>
        </w:rPr>
        <w:t xml:space="preserve"> </w:t>
      </w:r>
      <w:r w:rsidRPr="0046220B">
        <w:rPr>
          <w:rFonts w:eastAsia="Times New Roman" w:cstheme="minorHAnsi"/>
          <w:color w:val="000000" w:themeColor="text1"/>
          <w:sz w:val="20"/>
          <w:szCs w:val="20"/>
          <w:lang w:eastAsia="de-DE"/>
        </w:rPr>
        <w:t>B. sich bereits der Ideologie zugewandt hat und inwiefern er durch die Lehrperson und die Schulsolzialarbeite</w:t>
      </w:r>
      <w:r w:rsidR="00ED06A0">
        <w:rPr>
          <w:rFonts w:eastAsia="Times New Roman" w:cstheme="minorHAnsi"/>
          <w:color w:val="000000" w:themeColor="text1"/>
          <w:sz w:val="20"/>
          <w:szCs w:val="20"/>
          <w:lang w:eastAsia="de-DE"/>
        </w:rPr>
        <w:t>nden</w:t>
      </w:r>
      <w:r w:rsidRPr="0046220B">
        <w:rPr>
          <w:rFonts w:eastAsia="Times New Roman" w:cstheme="minorHAnsi"/>
          <w:color w:val="000000" w:themeColor="text1"/>
          <w:sz w:val="20"/>
          <w:szCs w:val="20"/>
          <w:lang w:eastAsia="de-DE"/>
        </w:rPr>
        <w:t xml:space="preserve"> unterstützt werden kann. Die </w:t>
      </w:r>
      <w:r w:rsidR="00786D85" w:rsidRPr="0046220B">
        <w:rPr>
          <w:rFonts w:eastAsia="Times New Roman" w:cstheme="minorHAnsi"/>
          <w:color w:val="000000" w:themeColor="text1"/>
          <w:sz w:val="20"/>
          <w:szCs w:val="20"/>
          <w:lang w:eastAsia="de-DE"/>
        </w:rPr>
        <w:t>Maßnahmen</w:t>
      </w:r>
      <w:r w:rsidRPr="0046220B">
        <w:rPr>
          <w:rFonts w:eastAsia="Times New Roman" w:cstheme="minorHAnsi"/>
          <w:color w:val="000000" w:themeColor="text1"/>
          <w:sz w:val="20"/>
          <w:szCs w:val="20"/>
          <w:lang w:eastAsia="de-DE"/>
        </w:rPr>
        <w:t xml:space="preserve"> sollen eine zunehmende Radikalisierung sowie die Ausreise nach Syrien verhindern und fokussieren hierfür auf alternative identitätsstiftende Lebensinhalte in der Schweiz. In Anwendung eines systemischen Ansatzes wendet sich die Schule auch an die Eltern von A.</w:t>
      </w:r>
      <w:r w:rsidR="00ED06A0">
        <w:rPr>
          <w:rFonts w:eastAsia="Times New Roman" w:cstheme="minorHAnsi"/>
          <w:color w:val="000000" w:themeColor="text1"/>
          <w:sz w:val="20"/>
          <w:szCs w:val="20"/>
          <w:lang w:eastAsia="de-DE"/>
        </w:rPr>
        <w:t xml:space="preserve"> </w:t>
      </w:r>
      <w:r w:rsidRPr="0046220B">
        <w:rPr>
          <w:rFonts w:eastAsia="Times New Roman" w:cstheme="minorHAnsi"/>
          <w:color w:val="000000" w:themeColor="text1"/>
          <w:sz w:val="20"/>
          <w:szCs w:val="20"/>
          <w:lang w:eastAsia="de-DE"/>
        </w:rPr>
        <w:t xml:space="preserve">B. Sie werden </w:t>
      </w:r>
      <w:r w:rsidR="001C0F4F">
        <w:rPr>
          <w:rFonts w:eastAsia="Times New Roman" w:cstheme="minorHAnsi"/>
          <w:color w:val="000000" w:themeColor="text1"/>
          <w:sz w:val="20"/>
          <w:szCs w:val="20"/>
          <w:lang w:eastAsia="de-DE"/>
        </w:rPr>
        <w:t>mit</w:t>
      </w:r>
      <w:r w:rsidRPr="0046220B">
        <w:rPr>
          <w:rFonts w:eastAsia="Times New Roman" w:cstheme="minorHAnsi"/>
          <w:color w:val="000000" w:themeColor="text1"/>
          <w:sz w:val="20"/>
          <w:szCs w:val="20"/>
          <w:lang w:eastAsia="de-DE"/>
        </w:rPr>
        <w:t>einbezogen und zu einem Gespräch eingeladen, um die beobachteten Entwicklungen von A.</w:t>
      </w:r>
      <w:r w:rsidR="00ED06A0">
        <w:rPr>
          <w:rFonts w:eastAsia="Times New Roman" w:cstheme="minorHAnsi"/>
          <w:color w:val="000000" w:themeColor="text1"/>
          <w:sz w:val="20"/>
          <w:szCs w:val="20"/>
          <w:lang w:eastAsia="de-DE"/>
        </w:rPr>
        <w:t xml:space="preserve"> </w:t>
      </w:r>
      <w:r w:rsidRPr="0046220B">
        <w:rPr>
          <w:rFonts w:eastAsia="Times New Roman" w:cstheme="minorHAnsi"/>
          <w:color w:val="000000" w:themeColor="text1"/>
          <w:sz w:val="20"/>
          <w:szCs w:val="20"/>
          <w:lang w:eastAsia="de-DE"/>
        </w:rPr>
        <w:t>B. zu thematisieren. Wenn möglich wird eruiert, inwiefern die Eltern Unterstützung bieten können, sodass A.</w:t>
      </w:r>
      <w:r w:rsidR="00ED06A0">
        <w:rPr>
          <w:rFonts w:eastAsia="Times New Roman" w:cstheme="minorHAnsi"/>
          <w:color w:val="000000" w:themeColor="text1"/>
          <w:sz w:val="20"/>
          <w:szCs w:val="20"/>
          <w:lang w:eastAsia="de-DE"/>
        </w:rPr>
        <w:t xml:space="preserve"> </w:t>
      </w:r>
      <w:r w:rsidRPr="0046220B">
        <w:rPr>
          <w:rFonts w:eastAsia="Times New Roman" w:cstheme="minorHAnsi"/>
          <w:color w:val="000000" w:themeColor="text1"/>
          <w:sz w:val="20"/>
          <w:szCs w:val="20"/>
          <w:lang w:eastAsia="de-DE"/>
        </w:rPr>
        <w:t>B. sich von seinem radikalen Umfeld distanzieren und alternative sinnstiftende Lebensinhalte generieren kann. Dies kann etwa im Rahmen von aktiven Tätigkeiten in einem Sportverein oder anderen Freizeitbeschäftigungen geschehen. Später wird auch die Ehefrau von A.</w:t>
      </w:r>
      <w:r w:rsidR="00913188">
        <w:rPr>
          <w:rFonts w:eastAsia="Times New Roman" w:cstheme="minorHAnsi"/>
          <w:color w:val="000000" w:themeColor="text1"/>
          <w:sz w:val="20"/>
          <w:szCs w:val="20"/>
          <w:lang w:eastAsia="de-DE"/>
        </w:rPr>
        <w:t xml:space="preserve"> </w:t>
      </w:r>
      <w:r w:rsidRPr="0046220B">
        <w:rPr>
          <w:rFonts w:eastAsia="Times New Roman" w:cstheme="minorHAnsi"/>
          <w:color w:val="000000" w:themeColor="text1"/>
          <w:sz w:val="20"/>
          <w:szCs w:val="20"/>
          <w:lang w:eastAsia="de-DE"/>
        </w:rPr>
        <w:t>B. in die systemische Beratungsarbeit miteinbezogen.</w:t>
      </w:r>
    </w:p>
    <w:p w14:paraId="4D9A9F9C" w14:textId="4800C0DD" w:rsidR="003C268C" w:rsidRPr="0046220B" w:rsidRDefault="003C268C" w:rsidP="00512032">
      <w:pPr>
        <w:spacing w:before="160" w:line="276" w:lineRule="auto"/>
        <w:ind w:left="709"/>
        <w:jc w:val="both"/>
        <w:rPr>
          <w:rFonts w:eastAsia="Times New Roman" w:cstheme="minorHAnsi"/>
          <w:color w:val="000000" w:themeColor="text1"/>
          <w:sz w:val="20"/>
          <w:szCs w:val="20"/>
          <w:lang w:eastAsia="de-DE"/>
        </w:rPr>
      </w:pPr>
      <w:r w:rsidRPr="0046220B">
        <w:rPr>
          <w:rFonts w:eastAsia="Times New Roman" w:cstheme="minorHAnsi"/>
          <w:color w:val="000000" w:themeColor="text1"/>
          <w:sz w:val="20"/>
          <w:szCs w:val="20"/>
          <w:lang w:eastAsia="de-DE"/>
        </w:rPr>
        <w:t>Trotz aller Bemühungen schreitet die Radikalisierung von A.</w:t>
      </w:r>
      <w:r w:rsidR="00913188">
        <w:rPr>
          <w:rFonts w:eastAsia="Times New Roman" w:cstheme="minorHAnsi"/>
          <w:color w:val="000000" w:themeColor="text1"/>
          <w:sz w:val="20"/>
          <w:szCs w:val="20"/>
          <w:lang w:eastAsia="de-DE"/>
        </w:rPr>
        <w:t xml:space="preserve"> </w:t>
      </w:r>
      <w:r w:rsidRPr="0046220B">
        <w:rPr>
          <w:rFonts w:eastAsia="Times New Roman" w:cstheme="minorHAnsi"/>
          <w:color w:val="000000" w:themeColor="text1"/>
          <w:sz w:val="20"/>
          <w:szCs w:val="20"/>
          <w:lang w:eastAsia="de-DE"/>
        </w:rPr>
        <w:t>B. fort. A.</w:t>
      </w:r>
      <w:r w:rsidR="00913188">
        <w:rPr>
          <w:rFonts w:eastAsia="Times New Roman" w:cstheme="minorHAnsi"/>
          <w:color w:val="000000" w:themeColor="text1"/>
          <w:sz w:val="20"/>
          <w:szCs w:val="20"/>
          <w:lang w:eastAsia="de-DE"/>
        </w:rPr>
        <w:t xml:space="preserve"> </w:t>
      </w:r>
      <w:r w:rsidRPr="0046220B">
        <w:rPr>
          <w:rFonts w:eastAsia="Times New Roman" w:cstheme="minorHAnsi"/>
          <w:color w:val="000000" w:themeColor="text1"/>
          <w:sz w:val="20"/>
          <w:szCs w:val="20"/>
          <w:lang w:eastAsia="de-DE"/>
        </w:rPr>
        <w:t xml:space="preserve">B. </w:t>
      </w:r>
      <w:r w:rsidR="00786D85" w:rsidRPr="0046220B">
        <w:rPr>
          <w:rFonts w:eastAsia="Times New Roman" w:cstheme="minorHAnsi"/>
          <w:color w:val="000000" w:themeColor="text1"/>
          <w:sz w:val="20"/>
          <w:szCs w:val="20"/>
          <w:lang w:eastAsia="de-DE"/>
        </w:rPr>
        <w:t>schließt</w:t>
      </w:r>
      <w:r w:rsidRPr="0046220B">
        <w:rPr>
          <w:rFonts w:eastAsia="Times New Roman" w:cstheme="minorHAnsi"/>
          <w:color w:val="000000" w:themeColor="text1"/>
          <w:sz w:val="20"/>
          <w:szCs w:val="20"/>
          <w:lang w:eastAsia="de-DE"/>
        </w:rPr>
        <w:t xml:space="preserve"> sich </w:t>
      </w:r>
      <w:r w:rsidRPr="001674F2">
        <w:rPr>
          <w:rFonts w:eastAsia="Times New Roman" w:cstheme="minorHAnsi"/>
          <w:i/>
          <w:iCs/>
          <w:color w:val="000000" w:themeColor="text1"/>
          <w:sz w:val="20"/>
          <w:szCs w:val="20"/>
          <w:lang w:eastAsia="de-DE"/>
        </w:rPr>
        <w:t>Al-Qaida</w:t>
      </w:r>
      <w:r w:rsidRPr="0046220B">
        <w:rPr>
          <w:rFonts w:eastAsia="Times New Roman" w:cstheme="minorHAnsi"/>
          <w:color w:val="000000" w:themeColor="text1"/>
          <w:sz w:val="20"/>
          <w:szCs w:val="20"/>
          <w:lang w:eastAsia="de-DE"/>
        </w:rPr>
        <w:t xml:space="preserve"> an und reist nach Syrien aus. Im Rahmen der Tertiärprävention ist der Bürgerrechtsentzug kein geeignetes Mittel der Prävention und zur Verbesserung der inneren Sicherheit der Schweiz. Diese </w:t>
      </w:r>
      <w:r w:rsidR="00786D85" w:rsidRPr="0046220B">
        <w:rPr>
          <w:rFonts w:eastAsia="Times New Roman" w:cstheme="minorHAnsi"/>
          <w:color w:val="000000" w:themeColor="text1"/>
          <w:sz w:val="20"/>
          <w:szCs w:val="20"/>
          <w:lang w:eastAsia="de-DE"/>
        </w:rPr>
        <w:t>Maßnahmen</w:t>
      </w:r>
      <w:r w:rsidRPr="0046220B">
        <w:rPr>
          <w:rFonts w:eastAsia="Times New Roman" w:cstheme="minorHAnsi"/>
          <w:color w:val="000000" w:themeColor="text1"/>
          <w:sz w:val="20"/>
          <w:szCs w:val="20"/>
          <w:lang w:eastAsia="de-DE"/>
        </w:rPr>
        <w:t xml:space="preserve"> </w:t>
      </w:r>
      <w:r w:rsidRPr="0046220B">
        <w:rPr>
          <w:rFonts w:eastAsia="Times New Roman" w:cstheme="minorHAnsi"/>
          <w:color w:val="000000" w:themeColor="text1"/>
          <w:sz w:val="20"/>
          <w:szCs w:val="20"/>
          <w:lang w:eastAsia="de-DE"/>
        </w:rPr>
        <w:lastRenderedPageBreak/>
        <w:t>adressier</w:t>
      </w:r>
      <w:r w:rsidR="00931EE8">
        <w:rPr>
          <w:rFonts w:eastAsia="Times New Roman" w:cstheme="minorHAnsi"/>
          <w:color w:val="000000" w:themeColor="text1"/>
          <w:sz w:val="20"/>
          <w:szCs w:val="20"/>
          <w:lang w:eastAsia="de-DE"/>
        </w:rPr>
        <w:t>en</w:t>
      </w:r>
      <w:r w:rsidRPr="0046220B">
        <w:rPr>
          <w:rFonts w:eastAsia="Times New Roman" w:cstheme="minorHAnsi"/>
          <w:color w:val="000000" w:themeColor="text1"/>
          <w:sz w:val="20"/>
          <w:szCs w:val="20"/>
          <w:lang w:eastAsia="de-DE"/>
        </w:rPr>
        <w:t xml:space="preserve"> das ideologische Gedankengut von A.</w:t>
      </w:r>
      <w:r w:rsidR="00931EE8">
        <w:rPr>
          <w:rFonts w:eastAsia="Times New Roman" w:cstheme="minorHAnsi"/>
          <w:color w:val="000000" w:themeColor="text1"/>
          <w:sz w:val="20"/>
          <w:szCs w:val="20"/>
          <w:lang w:eastAsia="de-DE"/>
        </w:rPr>
        <w:t xml:space="preserve"> </w:t>
      </w:r>
      <w:r w:rsidRPr="0046220B">
        <w:rPr>
          <w:rFonts w:eastAsia="Times New Roman" w:cstheme="minorHAnsi"/>
          <w:color w:val="000000" w:themeColor="text1"/>
          <w:sz w:val="20"/>
          <w:szCs w:val="20"/>
          <w:lang w:eastAsia="de-DE"/>
        </w:rPr>
        <w:t>B. sowie mögliche Bedürfnisse, die durch die Gruppenzugehörigkeit bedient werden</w:t>
      </w:r>
      <w:r w:rsidR="00931EE8">
        <w:rPr>
          <w:rFonts w:eastAsia="Times New Roman" w:cstheme="minorHAnsi"/>
          <w:color w:val="000000" w:themeColor="text1"/>
          <w:sz w:val="20"/>
          <w:szCs w:val="20"/>
          <w:lang w:eastAsia="de-DE"/>
        </w:rPr>
        <w:t>,</w:t>
      </w:r>
      <w:r w:rsidRPr="0046220B">
        <w:rPr>
          <w:rFonts w:eastAsia="Times New Roman" w:cstheme="minorHAnsi"/>
          <w:color w:val="000000" w:themeColor="text1"/>
          <w:sz w:val="20"/>
          <w:szCs w:val="20"/>
          <w:lang w:eastAsia="de-DE"/>
        </w:rPr>
        <w:t xml:space="preserve"> nicht. A.</w:t>
      </w:r>
      <w:r w:rsidR="00931EE8">
        <w:rPr>
          <w:rFonts w:eastAsia="Times New Roman" w:cstheme="minorHAnsi"/>
          <w:color w:val="000000" w:themeColor="text1"/>
          <w:sz w:val="20"/>
          <w:szCs w:val="20"/>
          <w:lang w:eastAsia="de-DE"/>
        </w:rPr>
        <w:t xml:space="preserve"> </w:t>
      </w:r>
      <w:r w:rsidRPr="0046220B">
        <w:rPr>
          <w:rFonts w:eastAsia="Times New Roman" w:cstheme="minorHAnsi"/>
          <w:color w:val="000000" w:themeColor="text1"/>
          <w:sz w:val="20"/>
          <w:szCs w:val="20"/>
          <w:lang w:eastAsia="de-DE"/>
        </w:rPr>
        <w:t>B. wuchs in der Schweiz auf, verfügt nur über minimale Türkischkenntnisse und hat – abgesehen von losen familiären Kontakten – keine Bezugspersonen in der Türkei. Ein Bürgerrechtsentzug und eine möglicherw</w:t>
      </w:r>
      <w:r w:rsidR="00155635">
        <w:rPr>
          <w:rFonts w:eastAsia="Times New Roman" w:cstheme="minorHAnsi"/>
          <w:color w:val="000000" w:themeColor="text1"/>
          <w:sz w:val="20"/>
          <w:szCs w:val="20"/>
          <w:lang w:eastAsia="de-DE"/>
        </w:rPr>
        <w:t>ei</w:t>
      </w:r>
      <w:r w:rsidRPr="0046220B">
        <w:rPr>
          <w:rFonts w:eastAsia="Times New Roman" w:cstheme="minorHAnsi"/>
          <w:color w:val="000000" w:themeColor="text1"/>
          <w:sz w:val="20"/>
          <w:szCs w:val="20"/>
          <w:lang w:eastAsia="de-DE"/>
        </w:rPr>
        <w:t>se spätere Ausweisung in die Türkei hätte</w:t>
      </w:r>
      <w:r w:rsidR="00155635">
        <w:rPr>
          <w:rFonts w:eastAsia="Times New Roman" w:cstheme="minorHAnsi"/>
          <w:color w:val="000000" w:themeColor="text1"/>
          <w:sz w:val="20"/>
          <w:szCs w:val="20"/>
          <w:lang w:eastAsia="de-DE"/>
        </w:rPr>
        <w:t>n</w:t>
      </w:r>
      <w:r w:rsidRPr="0046220B">
        <w:rPr>
          <w:rFonts w:eastAsia="Times New Roman" w:cstheme="minorHAnsi"/>
          <w:color w:val="000000" w:themeColor="text1"/>
          <w:sz w:val="20"/>
          <w:szCs w:val="20"/>
          <w:lang w:eastAsia="de-DE"/>
        </w:rPr>
        <w:t xml:space="preserve"> folglich eine destabilisierende Auswirkung auf A.</w:t>
      </w:r>
      <w:r w:rsidR="00155635">
        <w:rPr>
          <w:rFonts w:eastAsia="Times New Roman" w:cstheme="minorHAnsi"/>
          <w:color w:val="000000" w:themeColor="text1"/>
          <w:sz w:val="20"/>
          <w:szCs w:val="20"/>
          <w:lang w:eastAsia="de-DE"/>
        </w:rPr>
        <w:t xml:space="preserve"> </w:t>
      </w:r>
      <w:r w:rsidRPr="0046220B">
        <w:rPr>
          <w:rFonts w:eastAsia="Times New Roman" w:cstheme="minorHAnsi"/>
          <w:color w:val="000000" w:themeColor="text1"/>
          <w:sz w:val="20"/>
          <w:szCs w:val="20"/>
          <w:lang w:eastAsia="de-DE"/>
        </w:rPr>
        <w:t>B.</w:t>
      </w:r>
      <w:r w:rsidR="00155635">
        <w:rPr>
          <w:rFonts w:eastAsia="Times New Roman" w:cstheme="minorHAnsi"/>
          <w:color w:val="000000" w:themeColor="text1"/>
          <w:sz w:val="20"/>
          <w:szCs w:val="20"/>
          <w:lang w:eastAsia="de-DE"/>
        </w:rPr>
        <w:t>,</w:t>
      </w:r>
      <w:r w:rsidRPr="0046220B">
        <w:rPr>
          <w:rFonts w:eastAsia="Times New Roman" w:cstheme="minorHAnsi"/>
          <w:color w:val="000000" w:themeColor="text1"/>
          <w:sz w:val="20"/>
          <w:szCs w:val="20"/>
          <w:lang w:eastAsia="de-DE"/>
        </w:rPr>
        <w:t xml:space="preserve"> was wiederum zu einer Beschleunigung der Radikalisierung führ</w:t>
      </w:r>
      <w:r w:rsidR="00155635">
        <w:rPr>
          <w:rFonts w:eastAsia="Times New Roman" w:cstheme="minorHAnsi"/>
          <w:color w:val="000000" w:themeColor="text1"/>
          <w:sz w:val="20"/>
          <w:szCs w:val="20"/>
          <w:lang w:eastAsia="de-DE"/>
        </w:rPr>
        <w:t>en könnte</w:t>
      </w:r>
      <w:r w:rsidRPr="0046220B">
        <w:rPr>
          <w:rFonts w:eastAsia="Times New Roman" w:cstheme="minorHAnsi"/>
          <w:color w:val="000000" w:themeColor="text1"/>
          <w:sz w:val="20"/>
          <w:szCs w:val="20"/>
          <w:lang w:eastAsia="de-DE"/>
        </w:rPr>
        <w:t>. Es wäre davon auszugehen, dass A.</w:t>
      </w:r>
      <w:r w:rsidR="001C646C">
        <w:rPr>
          <w:rFonts w:eastAsia="Times New Roman" w:cstheme="minorHAnsi"/>
          <w:color w:val="000000" w:themeColor="text1"/>
          <w:sz w:val="20"/>
          <w:szCs w:val="20"/>
          <w:lang w:eastAsia="de-DE"/>
        </w:rPr>
        <w:t xml:space="preserve"> </w:t>
      </w:r>
      <w:r w:rsidRPr="0046220B">
        <w:rPr>
          <w:rFonts w:eastAsia="Times New Roman" w:cstheme="minorHAnsi"/>
          <w:color w:val="000000" w:themeColor="text1"/>
          <w:sz w:val="20"/>
          <w:szCs w:val="20"/>
          <w:lang w:eastAsia="de-DE"/>
        </w:rPr>
        <w:t xml:space="preserve">B. – entsprechend seinem gewohnten Muster – in der Türkei in einem radikalen Umfeld Anschluss sucht und findet. Ferner wäre davon auszugehen, dass Angebote der Distanzierung und der Reintegration in der Türkei, sollten sie vorhanden und zugänglich sein, nicht mit Angeboten in der Schweiz vergleichbar </w:t>
      </w:r>
      <w:r w:rsidR="001C646C">
        <w:rPr>
          <w:rFonts w:eastAsia="Times New Roman" w:cstheme="minorHAnsi"/>
          <w:color w:val="000000" w:themeColor="text1"/>
          <w:sz w:val="20"/>
          <w:szCs w:val="20"/>
          <w:lang w:eastAsia="de-DE"/>
        </w:rPr>
        <w:t>wären</w:t>
      </w:r>
      <w:r w:rsidRPr="0046220B">
        <w:rPr>
          <w:rFonts w:eastAsia="Times New Roman" w:cstheme="minorHAnsi"/>
          <w:color w:val="000000" w:themeColor="text1"/>
          <w:sz w:val="20"/>
          <w:szCs w:val="20"/>
          <w:lang w:eastAsia="de-DE"/>
        </w:rPr>
        <w:t>. Diese Faktoren würden einem Distanzierungsprozess von A.</w:t>
      </w:r>
      <w:r w:rsidR="001C646C">
        <w:rPr>
          <w:rFonts w:eastAsia="Times New Roman" w:cstheme="minorHAnsi"/>
          <w:color w:val="000000" w:themeColor="text1"/>
          <w:sz w:val="20"/>
          <w:szCs w:val="20"/>
          <w:lang w:eastAsia="de-DE"/>
        </w:rPr>
        <w:t xml:space="preserve"> </w:t>
      </w:r>
      <w:r w:rsidRPr="0046220B">
        <w:rPr>
          <w:rFonts w:eastAsia="Times New Roman" w:cstheme="minorHAnsi"/>
          <w:color w:val="000000" w:themeColor="text1"/>
          <w:sz w:val="20"/>
          <w:szCs w:val="20"/>
          <w:lang w:eastAsia="de-DE"/>
        </w:rPr>
        <w:t>B. zuwiderlaufen. Als Alternative zum Bürgerrechtsentzug und einer späteren Wegweisung aus der Schweiz erhält A.</w:t>
      </w:r>
      <w:r w:rsidR="00366A45">
        <w:rPr>
          <w:rFonts w:eastAsia="Times New Roman" w:cstheme="minorHAnsi"/>
          <w:color w:val="000000" w:themeColor="text1"/>
          <w:sz w:val="20"/>
          <w:szCs w:val="20"/>
          <w:lang w:eastAsia="de-DE"/>
        </w:rPr>
        <w:t xml:space="preserve"> </w:t>
      </w:r>
      <w:r w:rsidRPr="0046220B">
        <w:rPr>
          <w:rFonts w:eastAsia="Times New Roman" w:cstheme="minorHAnsi"/>
          <w:color w:val="000000" w:themeColor="text1"/>
          <w:sz w:val="20"/>
          <w:szCs w:val="20"/>
          <w:lang w:eastAsia="de-DE"/>
        </w:rPr>
        <w:t>B. von den zuständigen Schweizer Behörden eine langfristige Beratung und Begleitung durch Angebote der Tertiärprävention. Diese fördert die Reintegration in der Schweiz, wo sich A.</w:t>
      </w:r>
      <w:r w:rsidR="00366A45">
        <w:rPr>
          <w:rFonts w:eastAsia="Times New Roman" w:cstheme="minorHAnsi"/>
          <w:color w:val="000000" w:themeColor="text1"/>
          <w:sz w:val="20"/>
          <w:szCs w:val="20"/>
          <w:lang w:eastAsia="de-DE"/>
        </w:rPr>
        <w:t xml:space="preserve"> </w:t>
      </w:r>
      <w:r w:rsidRPr="0046220B">
        <w:rPr>
          <w:rFonts w:eastAsia="Times New Roman" w:cstheme="minorHAnsi"/>
          <w:color w:val="000000" w:themeColor="text1"/>
          <w:sz w:val="20"/>
          <w:szCs w:val="20"/>
          <w:lang w:eastAsia="de-DE"/>
        </w:rPr>
        <w:t xml:space="preserve">B. auch radikalisiert hat. Im Zuge seiner </w:t>
      </w:r>
      <w:r w:rsidR="00786D85" w:rsidRPr="0046220B">
        <w:rPr>
          <w:rFonts w:eastAsia="Times New Roman" w:cstheme="minorHAnsi"/>
          <w:color w:val="000000" w:themeColor="text1"/>
          <w:sz w:val="20"/>
          <w:szCs w:val="20"/>
          <w:lang w:eastAsia="de-DE"/>
        </w:rPr>
        <w:t>Strafverbüßung</w:t>
      </w:r>
      <w:r w:rsidRPr="0046220B">
        <w:rPr>
          <w:rFonts w:eastAsia="Times New Roman" w:cstheme="minorHAnsi"/>
          <w:color w:val="000000" w:themeColor="text1"/>
          <w:sz w:val="20"/>
          <w:szCs w:val="20"/>
          <w:lang w:eastAsia="de-DE"/>
        </w:rPr>
        <w:t xml:space="preserve"> in einer Schweizer Justizvollzugsanstalt setzt sich A.</w:t>
      </w:r>
      <w:r w:rsidR="00366A45">
        <w:rPr>
          <w:rFonts w:eastAsia="Times New Roman" w:cstheme="minorHAnsi"/>
          <w:color w:val="000000" w:themeColor="text1"/>
          <w:sz w:val="20"/>
          <w:szCs w:val="20"/>
          <w:lang w:eastAsia="de-DE"/>
        </w:rPr>
        <w:t xml:space="preserve"> </w:t>
      </w:r>
      <w:r w:rsidRPr="0046220B">
        <w:rPr>
          <w:rFonts w:eastAsia="Times New Roman" w:cstheme="minorHAnsi"/>
          <w:color w:val="000000" w:themeColor="text1"/>
          <w:sz w:val="20"/>
          <w:szCs w:val="20"/>
          <w:lang w:eastAsia="de-DE"/>
        </w:rPr>
        <w:t xml:space="preserve">B. während seines zweieinhalbjährigen Aufenthalts intensiv und explizit mit dem ideologischen Gedankengut sowie seiner Biografie auseinander. Nach </w:t>
      </w:r>
      <w:r w:rsidR="00786D85" w:rsidRPr="0046220B">
        <w:rPr>
          <w:rFonts w:eastAsia="Times New Roman" w:cstheme="minorHAnsi"/>
          <w:color w:val="000000" w:themeColor="text1"/>
          <w:sz w:val="20"/>
          <w:szCs w:val="20"/>
          <w:lang w:eastAsia="de-DE"/>
        </w:rPr>
        <w:t>verbüßter</w:t>
      </w:r>
      <w:r w:rsidRPr="0046220B">
        <w:rPr>
          <w:rFonts w:eastAsia="Times New Roman" w:cstheme="minorHAnsi"/>
          <w:color w:val="000000" w:themeColor="text1"/>
          <w:sz w:val="20"/>
          <w:szCs w:val="20"/>
          <w:lang w:eastAsia="de-DE"/>
        </w:rPr>
        <w:t xml:space="preserve"> Strafe wird A.</w:t>
      </w:r>
      <w:r w:rsidR="00366A45">
        <w:rPr>
          <w:rFonts w:eastAsia="Times New Roman" w:cstheme="minorHAnsi"/>
          <w:color w:val="000000" w:themeColor="text1"/>
          <w:sz w:val="20"/>
          <w:szCs w:val="20"/>
          <w:lang w:eastAsia="de-DE"/>
        </w:rPr>
        <w:t xml:space="preserve"> </w:t>
      </w:r>
      <w:r w:rsidRPr="0046220B">
        <w:rPr>
          <w:rFonts w:eastAsia="Times New Roman" w:cstheme="minorHAnsi"/>
          <w:color w:val="000000" w:themeColor="text1"/>
          <w:sz w:val="20"/>
          <w:szCs w:val="20"/>
          <w:lang w:eastAsia="de-DE"/>
        </w:rPr>
        <w:t xml:space="preserve">B. im Sinne der Reintegration darauf vorbereitet, seinen Alltag </w:t>
      </w:r>
      <w:r w:rsidR="00786D85" w:rsidRPr="0046220B">
        <w:rPr>
          <w:rFonts w:eastAsia="Times New Roman" w:cstheme="minorHAnsi"/>
          <w:color w:val="000000" w:themeColor="text1"/>
          <w:sz w:val="20"/>
          <w:szCs w:val="20"/>
          <w:lang w:eastAsia="de-DE"/>
        </w:rPr>
        <w:t>außerhalb</w:t>
      </w:r>
      <w:r w:rsidRPr="0046220B">
        <w:rPr>
          <w:rFonts w:eastAsia="Times New Roman" w:cstheme="minorHAnsi"/>
          <w:color w:val="000000" w:themeColor="text1"/>
          <w:sz w:val="20"/>
          <w:szCs w:val="20"/>
          <w:lang w:eastAsia="de-DE"/>
        </w:rPr>
        <w:t xml:space="preserve"> der Justizvollzugsanstalt zu bewältigen. Er wird darin unterstützt, eine Wohnung zu finden und einer geregelten Arbeit und sinnstiftende</w:t>
      </w:r>
      <w:r w:rsidR="00366A45">
        <w:rPr>
          <w:rFonts w:eastAsia="Times New Roman" w:cstheme="minorHAnsi"/>
          <w:color w:val="000000" w:themeColor="text1"/>
          <w:sz w:val="20"/>
          <w:szCs w:val="20"/>
          <w:lang w:eastAsia="de-DE"/>
        </w:rPr>
        <w:t>n</w:t>
      </w:r>
      <w:r w:rsidRPr="0046220B">
        <w:rPr>
          <w:rFonts w:eastAsia="Times New Roman" w:cstheme="minorHAnsi"/>
          <w:color w:val="000000" w:themeColor="text1"/>
          <w:sz w:val="20"/>
          <w:szCs w:val="20"/>
          <w:lang w:eastAsia="de-DE"/>
        </w:rPr>
        <w:t xml:space="preserve"> Freizeitbeschäftigungen nachzugehen. So baut sich A.</w:t>
      </w:r>
      <w:r w:rsidR="00366A45">
        <w:rPr>
          <w:rFonts w:eastAsia="Times New Roman" w:cstheme="minorHAnsi"/>
          <w:color w:val="000000" w:themeColor="text1"/>
          <w:sz w:val="20"/>
          <w:szCs w:val="20"/>
          <w:lang w:eastAsia="de-DE"/>
        </w:rPr>
        <w:t xml:space="preserve"> </w:t>
      </w:r>
      <w:r w:rsidRPr="0046220B">
        <w:rPr>
          <w:rFonts w:eastAsia="Times New Roman" w:cstheme="minorHAnsi"/>
          <w:color w:val="000000" w:themeColor="text1"/>
          <w:sz w:val="20"/>
          <w:szCs w:val="20"/>
          <w:lang w:eastAsia="de-DE"/>
        </w:rPr>
        <w:t xml:space="preserve">B. ein stabiles soziales Umfeld auf. Dank dieser Beratungsangebote sowie einer langfristigen Begleitung nach </w:t>
      </w:r>
      <w:r w:rsidR="00786D85" w:rsidRPr="0046220B">
        <w:rPr>
          <w:rFonts w:eastAsia="Times New Roman" w:cstheme="minorHAnsi"/>
          <w:color w:val="000000" w:themeColor="text1"/>
          <w:sz w:val="20"/>
          <w:szCs w:val="20"/>
          <w:lang w:eastAsia="de-DE"/>
        </w:rPr>
        <w:t>verbüßter</w:t>
      </w:r>
      <w:r w:rsidRPr="0046220B">
        <w:rPr>
          <w:rFonts w:eastAsia="Times New Roman" w:cstheme="minorHAnsi"/>
          <w:color w:val="000000" w:themeColor="text1"/>
          <w:sz w:val="20"/>
          <w:szCs w:val="20"/>
          <w:lang w:eastAsia="de-DE"/>
        </w:rPr>
        <w:t xml:space="preserve"> Strafe entwickelt A.</w:t>
      </w:r>
      <w:r w:rsidR="00D241BA">
        <w:rPr>
          <w:rFonts w:eastAsia="Times New Roman" w:cstheme="minorHAnsi"/>
          <w:color w:val="000000" w:themeColor="text1"/>
          <w:sz w:val="20"/>
          <w:szCs w:val="20"/>
          <w:lang w:eastAsia="de-DE"/>
        </w:rPr>
        <w:t xml:space="preserve"> </w:t>
      </w:r>
      <w:r w:rsidRPr="0046220B">
        <w:rPr>
          <w:rFonts w:eastAsia="Times New Roman" w:cstheme="minorHAnsi"/>
          <w:color w:val="000000" w:themeColor="text1"/>
          <w:sz w:val="20"/>
          <w:szCs w:val="20"/>
          <w:lang w:eastAsia="de-DE"/>
        </w:rPr>
        <w:t>B. einen alternativen identitätsstiftenden Lebensinhalt und distanziert sich zunehmend vom ideologischen Gedankengut.</w:t>
      </w:r>
    </w:p>
    <w:p w14:paraId="3FEA02E8" w14:textId="00244054" w:rsidR="003C268C" w:rsidRPr="0046220B" w:rsidRDefault="009F5912" w:rsidP="009F5912">
      <w:pPr>
        <w:pStyle w:val="1Ebene"/>
      </w:pPr>
      <w:bookmarkStart w:id="71" w:name="_Toc188272786"/>
      <w:bookmarkStart w:id="72" w:name="_Toc195609721"/>
      <w:r>
        <w:t xml:space="preserve">5. </w:t>
      </w:r>
      <w:r w:rsidR="003C268C" w:rsidRPr="0046220B">
        <w:t>Schlussbetrachtung</w:t>
      </w:r>
      <w:bookmarkEnd w:id="71"/>
      <w:bookmarkEnd w:id="72"/>
    </w:p>
    <w:p w14:paraId="0F7E52F4" w14:textId="09504BE0" w:rsidR="003C268C" w:rsidRPr="0046220B" w:rsidRDefault="003C268C" w:rsidP="003C268C">
      <w:pPr>
        <w:spacing w:before="120" w:line="276" w:lineRule="auto"/>
        <w:jc w:val="both"/>
        <w:rPr>
          <w:rFonts w:eastAsia="Times New Roman" w:cstheme="minorHAnsi"/>
          <w:color w:val="000000" w:themeColor="text1"/>
          <w:szCs w:val="20"/>
          <w:lang w:eastAsia="de-DE"/>
        </w:rPr>
      </w:pPr>
      <w:r w:rsidRPr="0046220B">
        <w:rPr>
          <w:rFonts w:eastAsia="Times New Roman" w:cstheme="minorHAnsi"/>
          <w:color w:val="000000" w:themeColor="text1"/>
          <w:szCs w:val="20"/>
          <w:lang w:eastAsia="de-DE"/>
        </w:rPr>
        <w:t xml:space="preserve">Jeder demokratische Rechtsstaat benötigt wirkungsvolle und effektive Instrumente zur Abwehr von Bedrohungen der inneren und </w:t>
      </w:r>
      <w:r w:rsidR="00786D85" w:rsidRPr="0046220B">
        <w:rPr>
          <w:rFonts w:eastAsia="Times New Roman" w:cstheme="minorHAnsi"/>
          <w:color w:val="000000" w:themeColor="text1"/>
          <w:szCs w:val="20"/>
          <w:lang w:eastAsia="de-DE"/>
        </w:rPr>
        <w:t>äußeren</w:t>
      </w:r>
      <w:r w:rsidRPr="0046220B">
        <w:rPr>
          <w:rFonts w:eastAsia="Times New Roman" w:cstheme="minorHAnsi"/>
          <w:color w:val="000000" w:themeColor="text1"/>
          <w:szCs w:val="20"/>
          <w:lang w:eastAsia="de-DE"/>
        </w:rPr>
        <w:t xml:space="preserve"> Sicherheit</w:t>
      </w:r>
      <w:r w:rsidRPr="0046220B">
        <w:rPr>
          <w:rFonts w:eastAsia="Times New Roman" w:cstheme="minorHAnsi"/>
          <w:szCs w:val="20"/>
          <w:lang w:eastAsia="de-DE"/>
        </w:rPr>
        <w:t xml:space="preserve">. Der Bürgerrechtsentzug </w:t>
      </w:r>
      <w:r w:rsidRPr="0046220B">
        <w:rPr>
          <w:rFonts w:eastAsia="Times New Roman" w:cstheme="minorHAnsi"/>
          <w:color w:val="000000" w:themeColor="text1"/>
          <w:szCs w:val="20"/>
          <w:lang w:eastAsia="de-DE"/>
        </w:rPr>
        <w:t xml:space="preserve">ist in engen juristischen Grenzen zulässig und </w:t>
      </w:r>
      <w:r w:rsidR="00562FA3">
        <w:rPr>
          <w:rFonts w:eastAsia="Times New Roman" w:cstheme="minorHAnsi"/>
          <w:color w:val="000000" w:themeColor="text1"/>
          <w:szCs w:val="20"/>
          <w:lang w:eastAsia="de-DE"/>
        </w:rPr>
        <w:t>kann ein Mittel</w:t>
      </w:r>
      <w:r w:rsidRPr="0046220B">
        <w:rPr>
          <w:rFonts w:eastAsia="Times New Roman" w:cstheme="minorHAnsi"/>
          <w:color w:val="000000" w:themeColor="text1"/>
          <w:szCs w:val="20"/>
          <w:lang w:eastAsia="de-DE"/>
        </w:rPr>
        <w:t xml:space="preserve"> im Umgang mit extremistischen und/oder radikalisierten </w:t>
      </w:r>
      <w:proofErr w:type="gramStart"/>
      <w:r w:rsidRPr="0046220B">
        <w:rPr>
          <w:rFonts w:eastAsia="Times New Roman" w:cstheme="minorHAnsi"/>
          <w:color w:val="000000" w:themeColor="text1"/>
          <w:szCs w:val="20"/>
          <w:lang w:eastAsia="de-DE"/>
        </w:rPr>
        <w:t>Straftäter:innen</w:t>
      </w:r>
      <w:proofErr w:type="gramEnd"/>
      <w:r w:rsidR="00562FA3">
        <w:rPr>
          <w:rFonts w:eastAsia="Times New Roman" w:cstheme="minorHAnsi"/>
          <w:color w:val="000000" w:themeColor="text1"/>
          <w:szCs w:val="20"/>
          <w:lang w:eastAsia="de-DE"/>
        </w:rPr>
        <w:t xml:space="preserve"> sein</w:t>
      </w:r>
      <w:r w:rsidRPr="0046220B">
        <w:rPr>
          <w:rFonts w:eastAsia="Times New Roman" w:cstheme="minorHAnsi"/>
          <w:color w:val="000000" w:themeColor="text1"/>
          <w:szCs w:val="20"/>
          <w:lang w:eastAsia="de-DE"/>
        </w:rPr>
        <w:t>. Die Kernfrage ist, ob der Entzug der Staatsbürgerschaft aus juristischer und sozialwissenschaftlicher Sicht geeignet und langfristig erfolgversprechend ist.</w:t>
      </w:r>
    </w:p>
    <w:p w14:paraId="7C4117DB" w14:textId="226A46A1" w:rsidR="003C268C" w:rsidRPr="0046220B" w:rsidRDefault="003C268C" w:rsidP="003C268C">
      <w:pPr>
        <w:spacing w:before="120" w:line="276" w:lineRule="auto"/>
        <w:jc w:val="both"/>
        <w:rPr>
          <w:rFonts w:eastAsia="Times New Roman" w:cstheme="minorHAnsi"/>
          <w:color w:val="000000" w:themeColor="text1"/>
          <w:szCs w:val="20"/>
          <w:lang w:eastAsia="de-DE"/>
        </w:rPr>
      </w:pPr>
      <w:r w:rsidRPr="0046220B">
        <w:rPr>
          <w:rFonts w:eastAsia="Times New Roman" w:cstheme="minorHAnsi"/>
          <w:color w:val="000000" w:themeColor="text1"/>
          <w:szCs w:val="20"/>
          <w:lang w:eastAsia="de-DE"/>
        </w:rPr>
        <w:t xml:space="preserve">Der Beitrag kommt zur Erkenntnis, dass der Bürgerrechtsentzug aus </w:t>
      </w:r>
      <w:proofErr w:type="gramStart"/>
      <w:r w:rsidRPr="0046220B">
        <w:rPr>
          <w:rFonts w:eastAsia="Times New Roman" w:cstheme="minorHAnsi"/>
          <w:color w:val="000000" w:themeColor="text1"/>
          <w:szCs w:val="20"/>
          <w:lang w:eastAsia="de-DE"/>
        </w:rPr>
        <w:t>juristischer</w:t>
      </w:r>
      <w:proofErr w:type="gramEnd"/>
      <w:r w:rsidRPr="0046220B">
        <w:rPr>
          <w:rFonts w:eastAsia="Times New Roman" w:cstheme="minorHAnsi"/>
          <w:color w:val="000000" w:themeColor="text1"/>
          <w:szCs w:val="20"/>
          <w:lang w:eastAsia="de-DE"/>
        </w:rPr>
        <w:t xml:space="preserve"> wie auch aus Präventionswarte zu </w:t>
      </w:r>
      <w:r w:rsidRPr="0046220B">
        <w:rPr>
          <w:rFonts w:cstheme="minorHAnsi"/>
          <w:color w:val="000000" w:themeColor="text1"/>
        </w:rPr>
        <w:t>indirekte</w:t>
      </w:r>
      <w:r w:rsidR="001C0F4F">
        <w:rPr>
          <w:rFonts w:cstheme="minorHAnsi"/>
          <w:color w:val="000000" w:themeColor="text1"/>
        </w:rPr>
        <w:t>r</w:t>
      </w:r>
      <w:r w:rsidRPr="0046220B">
        <w:rPr>
          <w:rFonts w:cstheme="minorHAnsi"/>
          <w:color w:val="000000" w:themeColor="text1"/>
        </w:rPr>
        <w:t xml:space="preserve"> Diskriminierung führen kann. In der Praxis hat die </w:t>
      </w:r>
      <w:r w:rsidR="00786D85" w:rsidRPr="0046220B">
        <w:rPr>
          <w:rFonts w:cstheme="minorHAnsi"/>
          <w:color w:val="000000" w:themeColor="text1"/>
        </w:rPr>
        <w:t>Maßnahme</w:t>
      </w:r>
      <w:r w:rsidRPr="0046220B">
        <w:rPr>
          <w:rFonts w:cstheme="minorHAnsi"/>
          <w:color w:val="000000" w:themeColor="text1"/>
        </w:rPr>
        <w:t xml:space="preserve"> häufig </w:t>
      </w:r>
      <w:r w:rsidR="00786D85" w:rsidRPr="0046220B">
        <w:rPr>
          <w:rFonts w:cstheme="minorHAnsi"/>
          <w:color w:val="000000" w:themeColor="text1"/>
        </w:rPr>
        <w:t>ausschließlich</w:t>
      </w:r>
      <w:r w:rsidRPr="0046220B">
        <w:rPr>
          <w:rFonts w:cstheme="minorHAnsi"/>
          <w:color w:val="000000" w:themeColor="text1"/>
        </w:rPr>
        <w:t xml:space="preserve"> Auswirkungen auf Angehörige einer spezifischen Gruppe. Der Anknüpfungspunkt ist dabei das verpönte Merkmal der Herkunft. So werden Ungleichbehandlungen geschaffen, deren Rechtfertigungsmöglichkeit umstritten ist</w:t>
      </w:r>
      <w:r w:rsidRPr="0046220B">
        <w:rPr>
          <w:rFonts w:eastAsia="Times New Roman" w:cstheme="minorHAnsi"/>
          <w:color w:val="000000" w:themeColor="text1"/>
          <w:szCs w:val="20"/>
          <w:lang w:eastAsia="de-DE"/>
        </w:rPr>
        <w:t xml:space="preserve">. </w:t>
      </w:r>
      <w:r w:rsidRPr="0046220B">
        <w:rPr>
          <w:rFonts w:cstheme="minorHAnsi"/>
          <w:color w:val="000000" w:themeColor="text1"/>
        </w:rPr>
        <w:t>Ferner stellen sich aus juristischer Perspektive komplexe Fragen zur Verhältnismä</w:t>
      </w:r>
      <w:r w:rsidR="00786D85" w:rsidRPr="0046220B">
        <w:rPr>
          <w:rFonts w:cstheme="minorHAnsi"/>
          <w:color w:val="000000" w:themeColor="text1"/>
        </w:rPr>
        <w:t>ß</w:t>
      </w:r>
      <w:r w:rsidRPr="0046220B">
        <w:rPr>
          <w:rFonts w:cstheme="minorHAnsi"/>
          <w:color w:val="000000" w:themeColor="text1"/>
        </w:rPr>
        <w:t>igkeitsprüfung des Bürgerrechtsentzugs</w:t>
      </w:r>
      <w:r w:rsidRPr="0046220B">
        <w:rPr>
          <w:rFonts w:eastAsia="Times New Roman" w:cstheme="minorHAnsi"/>
          <w:color w:val="000000" w:themeColor="text1"/>
          <w:szCs w:val="20"/>
          <w:lang w:eastAsia="de-DE"/>
        </w:rPr>
        <w:t xml:space="preserve">. Besonders zweifelhaft ist die </w:t>
      </w:r>
      <w:r w:rsidRPr="0046220B">
        <w:rPr>
          <w:rFonts w:eastAsia="Times New Roman" w:cstheme="minorHAnsi"/>
          <w:i/>
          <w:iCs/>
          <w:color w:val="000000" w:themeColor="text1"/>
          <w:szCs w:val="20"/>
          <w:lang w:eastAsia="de-DE"/>
        </w:rPr>
        <w:t>Geeignetheit</w:t>
      </w:r>
      <w:r w:rsidRPr="0046220B">
        <w:rPr>
          <w:rFonts w:eastAsia="Times New Roman" w:cstheme="minorHAnsi"/>
          <w:color w:val="000000" w:themeColor="text1"/>
          <w:szCs w:val="20"/>
          <w:lang w:eastAsia="de-DE"/>
        </w:rPr>
        <w:t xml:space="preserve"> des Bürgerrechtsentzugs zum Schutz der inneren Sicherheit und der Verhinderung von Straftaten. Der Beitrag zeigt, dass der Entzug der Staatsbürgerschaft verurteilter </w:t>
      </w:r>
      <w:proofErr w:type="gramStart"/>
      <w:r w:rsidRPr="0046220B">
        <w:rPr>
          <w:rFonts w:eastAsia="Times New Roman" w:cstheme="minorHAnsi"/>
          <w:color w:val="000000" w:themeColor="text1"/>
          <w:szCs w:val="20"/>
          <w:lang w:eastAsia="de-DE"/>
        </w:rPr>
        <w:t>Straftäter:innen</w:t>
      </w:r>
      <w:proofErr w:type="gramEnd"/>
      <w:r w:rsidRPr="0046220B">
        <w:rPr>
          <w:rFonts w:eastAsia="Times New Roman" w:cstheme="minorHAnsi"/>
          <w:color w:val="000000" w:themeColor="text1"/>
          <w:szCs w:val="20"/>
          <w:lang w:eastAsia="de-DE"/>
        </w:rPr>
        <w:t xml:space="preserve"> meist weder Gefahren bannt noch terroristische Anschläge und Straftaten verhindert. Die praktischen Beispiele verdeutlichen, dass der Bürgerrech</w:t>
      </w:r>
      <w:r w:rsidR="00786D85" w:rsidRPr="0046220B">
        <w:rPr>
          <w:rFonts w:eastAsia="Times New Roman" w:cstheme="minorHAnsi"/>
          <w:color w:val="000000" w:themeColor="text1"/>
          <w:szCs w:val="20"/>
          <w:lang w:eastAsia="de-DE"/>
        </w:rPr>
        <w:t>t</w:t>
      </w:r>
      <w:r w:rsidRPr="0046220B">
        <w:rPr>
          <w:rFonts w:eastAsia="Times New Roman" w:cstheme="minorHAnsi"/>
          <w:color w:val="000000" w:themeColor="text1"/>
          <w:szCs w:val="20"/>
          <w:lang w:eastAsia="de-DE"/>
        </w:rPr>
        <w:t xml:space="preserve">sentzug bzw. eine effektive </w:t>
      </w:r>
      <w:r w:rsidR="00A06531">
        <w:t>„</w:t>
      </w:r>
      <w:r w:rsidRPr="0046220B">
        <w:rPr>
          <w:rFonts w:eastAsia="Times New Roman" w:cstheme="minorHAnsi"/>
          <w:color w:val="000000" w:themeColor="text1"/>
          <w:szCs w:val="20"/>
          <w:lang w:eastAsia="de-DE"/>
        </w:rPr>
        <w:t>Rückkehr</w:t>
      </w:r>
      <w:r w:rsidR="00377992">
        <w:t>“</w:t>
      </w:r>
      <w:r w:rsidRPr="0046220B">
        <w:rPr>
          <w:rFonts w:eastAsia="Times New Roman" w:cstheme="minorHAnsi"/>
          <w:color w:val="000000" w:themeColor="text1"/>
          <w:szCs w:val="20"/>
          <w:lang w:eastAsia="de-DE"/>
        </w:rPr>
        <w:t xml:space="preserve"> verurteilter </w:t>
      </w:r>
      <w:proofErr w:type="gramStart"/>
      <w:r w:rsidRPr="0046220B">
        <w:rPr>
          <w:rFonts w:eastAsia="Times New Roman" w:cstheme="minorHAnsi"/>
          <w:color w:val="000000" w:themeColor="text1"/>
          <w:szCs w:val="20"/>
          <w:lang w:eastAsia="de-DE"/>
        </w:rPr>
        <w:t>Straftäter:innen</w:t>
      </w:r>
      <w:proofErr w:type="gramEnd"/>
      <w:r w:rsidRPr="0046220B">
        <w:rPr>
          <w:rFonts w:eastAsia="Times New Roman" w:cstheme="minorHAnsi"/>
          <w:color w:val="000000" w:themeColor="text1"/>
          <w:szCs w:val="20"/>
          <w:lang w:eastAsia="de-DE"/>
        </w:rPr>
        <w:t xml:space="preserve"> in Zweitheimatländer oft unmöglich ist. Die Folgen können für die Betroffenen – insbesondere aber für deren familiäres Umfeld – gravierend sein. Widersprüche und rechtliche oder tatsächliche Sackgassen führen häufig zum Verbleib der verurteilten Personen in der Schweiz ohne einen geregelten Aufenthalt. Sicherheitsprobleme werden damit verstärkt anstatt gelöst und Rechtsunsicherheit (</w:t>
      </w:r>
      <w:r w:rsidRPr="0046220B">
        <w:rPr>
          <w:rFonts w:eastAsia="Times New Roman" w:cstheme="minorHAnsi"/>
          <w:i/>
          <w:iCs/>
          <w:color w:val="000000" w:themeColor="text1"/>
          <w:szCs w:val="20"/>
          <w:lang w:eastAsia="de-DE"/>
        </w:rPr>
        <w:t>legal limbo</w:t>
      </w:r>
      <w:r w:rsidRPr="0046220B">
        <w:rPr>
          <w:rFonts w:eastAsia="Times New Roman" w:cstheme="minorHAnsi"/>
          <w:color w:val="000000" w:themeColor="text1"/>
          <w:szCs w:val="20"/>
          <w:lang w:eastAsia="de-DE"/>
        </w:rPr>
        <w:t xml:space="preserve">) geschaffen. Dass Ausbürgerungen extremistischer und/oder radikalisierter </w:t>
      </w:r>
      <w:proofErr w:type="gramStart"/>
      <w:r w:rsidRPr="0046220B">
        <w:rPr>
          <w:rFonts w:eastAsia="Times New Roman" w:cstheme="minorHAnsi"/>
          <w:color w:val="000000" w:themeColor="text1"/>
          <w:szCs w:val="20"/>
          <w:lang w:eastAsia="de-DE"/>
        </w:rPr>
        <w:t>Straftäter:innen</w:t>
      </w:r>
      <w:proofErr w:type="gramEnd"/>
      <w:r w:rsidRPr="0046220B">
        <w:rPr>
          <w:rFonts w:eastAsia="Times New Roman" w:cstheme="minorHAnsi"/>
          <w:color w:val="000000" w:themeColor="text1"/>
          <w:szCs w:val="20"/>
          <w:lang w:eastAsia="de-DE"/>
        </w:rPr>
        <w:t xml:space="preserve"> zur Herstellung der inneren Sicherheit geeignet sind, ist aus juristischer Perspektive daher zweifelhaft. Auch aus Perspektive der Präventionsarbeit erscheint der Bürgerrechtsentzug als wenig geeignetes Mittel zur Gewährleistung der inneren Sicherheit. Als </w:t>
      </w:r>
      <w:r w:rsidRPr="0046220B">
        <w:rPr>
          <w:rFonts w:eastAsia="Times New Roman" w:cstheme="minorHAnsi"/>
          <w:color w:val="000000" w:themeColor="text1"/>
          <w:szCs w:val="20"/>
          <w:lang w:eastAsia="de-DE"/>
        </w:rPr>
        <w:lastRenderedPageBreak/>
        <w:t xml:space="preserve">repressive </w:t>
      </w:r>
      <w:r w:rsidR="00786D85" w:rsidRPr="0046220B">
        <w:rPr>
          <w:rFonts w:eastAsia="Times New Roman" w:cstheme="minorHAnsi"/>
          <w:color w:val="000000" w:themeColor="text1"/>
          <w:szCs w:val="20"/>
          <w:lang w:eastAsia="de-DE"/>
        </w:rPr>
        <w:t>Maßnahme</w:t>
      </w:r>
      <w:r w:rsidRPr="0046220B">
        <w:rPr>
          <w:rFonts w:eastAsia="Times New Roman" w:cstheme="minorHAnsi"/>
          <w:color w:val="000000" w:themeColor="text1"/>
          <w:szCs w:val="20"/>
          <w:lang w:eastAsia="de-DE"/>
        </w:rPr>
        <w:t xml:space="preserve"> adressiert er die eigentliche Ursache – das ideologische Gedankengut der </w:t>
      </w:r>
      <w:proofErr w:type="gramStart"/>
      <w:r w:rsidRPr="0046220B">
        <w:rPr>
          <w:rFonts w:eastAsia="Times New Roman" w:cstheme="minorHAnsi"/>
          <w:color w:val="000000" w:themeColor="text1"/>
          <w:szCs w:val="20"/>
          <w:lang w:eastAsia="de-DE"/>
        </w:rPr>
        <w:t>Täter:innen</w:t>
      </w:r>
      <w:proofErr w:type="gramEnd"/>
      <w:r w:rsidRPr="0046220B">
        <w:rPr>
          <w:rFonts w:eastAsia="Times New Roman" w:cstheme="minorHAnsi"/>
          <w:color w:val="000000" w:themeColor="text1"/>
          <w:szCs w:val="20"/>
          <w:lang w:eastAsia="de-DE"/>
        </w:rPr>
        <w:t xml:space="preserve"> – nicht und verfehlt damit das Ziel der Extremismusprävention.</w:t>
      </w:r>
    </w:p>
    <w:p w14:paraId="683D15C1" w14:textId="504CA17B" w:rsidR="003C268C" w:rsidRPr="0046220B" w:rsidRDefault="003C268C" w:rsidP="003C268C">
      <w:pPr>
        <w:spacing w:before="120" w:line="276" w:lineRule="auto"/>
        <w:jc w:val="both"/>
        <w:rPr>
          <w:rFonts w:eastAsia="Times New Roman" w:cstheme="minorHAnsi"/>
          <w:color w:val="000000" w:themeColor="text1"/>
          <w:szCs w:val="20"/>
          <w:lang w:eastAsia="de-DE"/>
        </w:rPr>
      </w:pPr>
      <w:r w:rsidRPr="0046220B">
        <w:rPr>
          <w:rFonts w:eastAsia="Times New Roman" w:cstheme="minorHAnsi"/>
          <w:color w:val="000000" w:themeColor="text1"/>
          <w:szCs w:val="20"/>
          <w:lang w:eastAsia="de-DE"/>
        </w:rPr>
        <w:t xml:space="preserve">Als </w:t>
      </w:r>
      <w:r w:rsidR="00786D85" w:rsidRPr="0046220B">
        <w:rPr>
          <w:rFonts w:eastAsia="Times New Roman" w:cstheme="minorHAnsi"/>
          <w:color w:val="000000" w:themeColor="text1"/>
          <w:szCs w:val="20"/>
          <w:lang w:eastAsia="de-DE"/>
        </w:rPr>
        <w:t>Maßnahme</w:t>
      </w:r>
      <w:r w:rsidRPr="0046220B">
        <w:rPr>
          <w:rFonts w:eastAsia="Times New Roman" w:cstheme="minorHAnsi"/>
          <w:color w:val="000000" w:themeColor="text1"/>
          <w:szCs w:val="20"/>
          <w:lang w:eastAsia="de-DE"/>
        </w:rPr>
        <w:t xml:space="preserve"> der Tertiärprävention steht der Bürgerrechtsentzug mit Grundsätzen der (sozial-)pädagogischen Präventionsarbeit im Wiederspruch. Dies liegt im schwer auflösbaren Spannungsfeld zwischen einer Sicherheitsperspektive und zentralen Präventionsgrundsätzen begründet. Letztere legen den Fokus auf das Individuum und auf die Ursachen der Radikalisierung. Hierfür ist eine aktive Auseinandersetzung mit ideologischen Inhalten unverzichtbar, um im Sinne der Tertiärprävention einen Distanzierungsprozess zu erzielen. Ohne (sozial-)pädagogische Präventionsma</w:t>
      </w:r>
      <w:r w:rsidR="00786D85" w:rsidRPr="0046220B">
        <w:rPr>
          <w:rFonts w:eastAsia="Times New Roman" w:cstheme="minorHAnsi"/>
          <w:color w:val="000000" w:themeColor="text1"/>
          <w:szCs w:val="20"/>
          <w:lang w:eastAsia="de-DE"/>
        </w:rPr>
        <w:t>ß</w:t>
      </w:r>
      <w:r w:rsidRPr="0046220B">
        <w:rPr>
          <w:rFonts w:eastAsia="Times New Roman" w:cstheme="minorHAnsi"/>
          <w:color w:val="000000" w:themeColor="text1"/>
          <w:szCs w:val="20"/>
          <w:lang w:eastAsia="de-DE"/>
        </w:rPr>
        <w:t xml:space="preserve">nahmen und ohne individuelle Ursachenbekämpfung können sich Risiken einer fortschreitenden Radikalisierung verstärken. Diese Tendenz wird durch die, bereits aus juristischer Perspektive kritisierten, Ungleichbehandlung resp. Diskriminierung sowie durch den prekären Aufenthaltsstatus betroffener Personen beschleunigt: </w:t>
      </w:r>
      <w:proofErr w:type="gramStart"/>
      <w:r w:rsidRPr="0046220B">
        <w:rPr>
          <w:rFonts w:eastAsia="Times New Roman" w:cstheme="minorHAnsi"/>
          <w:color w:val="000000" w:themeColor="text1"/>
          <w:szCs w:val="20"/>
          <w:lang w:eastAsia="de-DE"/>
        </w:rPr>
        <w:t>Ausländer:innen</w:t>
      </w:r>
      <w:proofErr w:type="gramEnd"/>
      <w:r w:rsidRPr="0046220B">
        <w:rPr>
          <w:rFonts w:eastAsia="Times New Roman" w:cstheme="minorHAnsi"/>
          <w:color w:val="000000" w:themeColor="text1"/>
          <w:szCs w:val="20"/>
          <w:lang w:eastAsia="de-DE"/>
        </w:rPr>
        <w:t xml:space="preserve"> ohne geregelten Aufenthaltsstatus tragen damit ein erhöhtes Radikalisierungsrisiko.</w:t>
      </w:r>
    </w:p>
    <w:p w14:paraId="0A788E38" w14:textId="1C23F7FC" w:rsidR="003C268C" w:rsidRPr="0046220B" w:rsidRDefault="006D0BCF" w:rsidP="003C268C">
      <w:pPr>
        <w:spacing w:before="120" w:line="276" w:lineRule="auto"/>
        <w:jc w:val="both"/>
        <w:rPr>
          <w:rFonts w:eastAsia="Times New Roman" w:cstheme="minorHAnsi"/>
          <w:color w:val="000000" w:themeColor="text1"/>
          <w:szCs w:val="20"/>
          <w:lang w:eastAsia="de-DE"/>
        </w:rPr>
      </w:pPr>
      <w:r>
        <w:t>„</w:t>
      </w:r>
      <w:r w:rsidR="003C268C" w:rsidRPr="0046220B">
        <w:rPr>
          <w:rFonts w:eastAsia="Times New Roman" w:cstheme="minorHAnsi"/>
          <w:color w:val="000000" w:themeColor="text1"/>
          <w:szCs w:val="20"/>
          <w:lang w:eastAsia="de-DE"/>
        </w:rPr>
        <w:t>Aus dem Auge, aus dem Sinn</w:t>
      </w:r>
      <w:r w:rsidR="00C44FC1">
        <w:t>“</w:t>
      </w:r>
      <w:r w:rsidR="003C268C" w:rsidRPr="0046220B">
        <w:rPr>
          <w:rFonts w:eastAsia="Times New Roman" w:cstheme="minorHAnsi"/>
          <w:color w:val="000000" w:themeColor="text1"/>
          <w:szCs w:val="20"/>
          <w:lang w:eastAsia="de-DE"/>
        </w:rPr>
        <w:t xml:space="preserve"> – dieses Motto dürfte sich im Umgang mit extremistischen und/oder radikalisierten </w:t>
      </w:r>
      <w:proofErr w:type="gramStart"/>
      <w:r w:rsidR="003C268C" w:rsidRPr="0046220B">
        <w:rPr>
          <w:rFonts w:eastAsia="Times New Roman" w:cstheme="minorHAnsi"/>
          <w:color w:val="000000" w:themeColor="text1"/>
          <w:szCs w:val="20"/>
          <w:lang w:eastAsia="de-DE"/>
        </w:rPr>
        <w:t>Bürger:innen</w:t>
      </w:r>
      <w:proofErr w:type="gramEnd"/>
      <w:r w:rsidR="003C268C" w:rsidRPr="0046220B">
        <w:rPr>
          <w:rFonts w:eastAsia="Times New Roman" w:cstheme="minorHAnsi"/>
          <w:color w:val="000000" w:themeColor="text1"/>
          <w:szCs w:val="20"/>
          <w:lang w:eastAsia="de-DE"/>
        </w:rPr>
        <w:t xml:space="preserve"> als wenig geeignet sowie innerhalb der internationalen Staatengemeinschaft als unsolidarisch erweisen. Wenn eine Person eine ideologisch motivierte Straftat begeht, waren auch die staatlichen Bildungs- und Präventionsangebote unzureichend, um eine solche Entwicklung zu verhindern. Wenn </w:t>
      </w:r>
      <w:proofErr w:type="gramStart"/>
      <w:r w:rsidR="001C0F4F">
        <w:rPr>
          <w:rFonts w:eastAsia="Times New Roman" w:cstheme="minorHAnsi"/>
          <w:color w:val="000000" w:themeColor="text1"/>
          <w:szCs w:val="20"/>
          <w:lang w:eastAsia="de-DE"/>
        </w:rPr>
        <w:t>Täter:innen</w:t>
      </w:r>
      <w:proofErr w:type="gramEnd"/>
      <w:r w:rsidR="003C268C" w:rsidRPr="0046220B">
        <w:rPr>
          <w:rFonts w:eastAsia="Times New Roman" w:cstheme="minorHAnsi"/>
          <w:color w:val="000000" w:themeColor="text1"/>
          <w:szCs w:val="20"/>
          <w:lang w:eastAsia="de-DE"/>
        </w:rPr>
        <w:t xml:space="preserve"> als Reaktion darauf das Bürgerrecht entzogen wird, verdrängt ein Staat seine eigene Verfehlung</w:t>
      </w:r>
      <w:r w:rsidR="00183B63">
        <w:rPr>
          <w:rFonts w:eastAsia="Times New Roman" w:cstheme="minorHAnsi"/>
          <w:color w:val="000000" w:themeColor="text1"/>
          <w:szCs w:val="20"/>
          <w:lang w:eastAsia="de-DE"/>
        </w:rPr>
        <w:t>,</w:t>
      </w:r>
      <w:r w:rsidR="003C268C" w:rsidRPr="0046220B">
        <w:rPr>
          <w:rFonts w:eastAsia="Times New Roman" w:cstheme="minorHAnsi"/>
          <w:color w:val="000000" w:themeColor="text1"/>
          <w:szCs w:val="20"/>
          <w:lang w:eastAsia="de-DE"/>
        </w:rPr>
        <w:t xml:space="preserve"> anstatt diese zu lösen.</w:t>
      </w:r>
    </w:p>
    <w:p w14:paraId="4DF4AC8C" w14:textId="3306FE3D" w:rsidR="003C268C" w:rsidRPr="0046220B" w:rsidRDefault="003C268C" w:rsidP="003C268C">
      <w:pPr>
        <w:spacing w:before="120" w:line="276" w:lineRule="auto"/>
        <w:jc w:val="both"/>
        <w:rPr>
          <w:rFonts w:eastAsia="Times New Roman" w:cstheme="minorHAnsi"/>
          <w:color w:val="000000" w:themeColor="text1"/>
          <w:szCs w:val="20"/>
          <w:lang w:eastAsia="de-DE"/>
        </w:rPr>
      </w:pPr>
      <w:r w:rsidRPr="0046220B">
        <w:rPr>
          <w:rFonts w:eastAsia="Times New Roman" w:cstheme="minorHAnsi"/>
          <w:color w:val="000000" w:themeColor="text1"/>
          <w:szCs w:val="20"/>
          <w:lang w:eastAsia="de-DE"/>
        </w:rPr>
        <w:t xml:space="preserve">Die präventive Wirkung des Bürgerrechtsentzugs wurde ferner in Bezug auf seinen abschreckenden Effekt analysiert. Wissenschaftliche Erkenntnisse legen nahe, dass keine abschreckende Wirkung festgestellt werden kann. Oft bewirken restriktive Maßnahmen eher eine Gegenreaktion. Die Ungleichbehandlung durch den Bürgerrechtsentzug verstärkt das erlebte Gefühl der Diskriminierung und das daraus resultierende fehlende Zugehörigkeitsgefühl zur Mehrheitsgesellschaft kann von der ideologischen Gruppe als gezielte Anwerbestrategie genutzt werden. Somit stellt die Maßnahme eher ein zusätzliches Risiko </w:t>
      </w:r>
      <w:r w:rsidR="000460B6">
        <w:rPr>
          <w:rFonts w:eastAsia="Times New Roman" w:cstheme="minorHAnsi"/>
          <w:color w:val="000000" w:themeColor="text1"/>
          <w:szCs w:val="20"/>
          <w:lang w:eastAsia="de-DE"/>
        </w:rPr>
        <w:t xml:space="preserve">für </w:t>
      </w:r>
      <w:r w:rsidRPr="0046220B">
        <w:rPr>
          <w:rFonts w:eastAsia="Times New Roman" w:cstheme="minorHAnsi"/>
          <w:color w:val="000000" w:themeColor="text1"/>
          <w:szCs w:val="20"/>
          <w:lang w:eastAsia="de-DE"/>
        </w:rPr>
        <w:t xml:space="preserve">eine Radikalisierung dar, anstatt diese durch seine abschreckende Wirkung zu bekämpfen. </w:t>
      </w:r>
    </w:p>
    <w:p w14:paraId="3E8C4529" w14:textId="4A107EAB" w:rsidR="003C268C" w:rsidRPr="0046220B" w:rsidRDefault="003C268C" w:rsidP="003C268C">
      <w:pPr>
        <w:spacing w:before="120" w:line="276" w:lineRule="auto"/>
        <w:jc w:val="both"/>
        <w:rPr>
          <w:rFonts w:eastAsia="Times New Roman" w:cstheme="minorHAnsi"/>
          <w:color w:val="000000" w:themeColor="text1"/>
          <w:szCs w:val="20"/>
          <w:lang w:eastAsia="de-DE"/>
        </w:rPr>
      </w:pPr>
      <w:r w:rsidRPr="0046220B">
        <w:rPr>
          <w:rFonts w:eastAsia="Times New Roman" w:cstheme="minorHAnsi"/>
          <w:color w:val="000000" w:themeColor="text1"/>
          <w:szCs w:val="20"/>
          <w:lang w:eastAsia="de-DE"/>
        </w:rPr>
        <w:t>Der vorliegende Beitrag kommt zum Schluss, dass der Bürgerrechtsentzug als präventive Maßnahme zur Verbesserung der Sicherheit sowohl aus juristischer wie auch aus sozialwissenschaftlicher Perspektive ungeeignet ist. Anstelle dessen müssen Angebote der primären-, sekundären und insbesondere der tertiären Prävention, der Distanzierung und Wiedereingliederung im Fokus stehen. Diese bekämpfen die Ursache</w:t>
      </w:r>
      <w:r w:rsidR="00CA7329">
        <w:rPr>
          <w:rFonts w:eastAsia="Times New Roman" w:cstheme="minorHAnsi"/>
          <w:color w:val="000000" w:themeColor="text1"/>
          <w:szCs w:val="20"/>
          <w:lang w:eastAsia="de-DE"/>
        </w:rPr>
        <w:t>n</w:t>
      </w:r>
      <w:r w:rsidRPr="0046220B">
        <w:rPr>
          <w:rFonts w:eastAsia="Times New Roman" w:cstheme="minorHAnsi"/>
          <w:color w:val="000000" w:themeColor="text1"/>
          <w:szCs w:val="20"/>
          <w:lang w:eastAsia="de-DE"/>
        </w:rPr>
        <w:t xml:space="preserve"> der Radikalisierung, indem sie sich mit der Ideologie auseinandersetzen und Alternativen zum Gedankengut bzw. zum radikalen Umfeld erarbeiten. Präventionsangebote, Distanzierungsarbeit und Wiedereingliederungsma</w:t>
      </w:r>
      <w:r w:rsidR="00786D85" w:rsidRPr="0046220B">
        <w:rPr>
          <w:rFonts w:eastAsia="Times New Roman" w:cstheme="minorHAnsi"/>
          <w:color w:val="000000" w:themeColor="text1"/>
          <w:szCs w:val="20"/>
          <w:lang w:eastAsia="de-DE"/>
        </w:rPr>
        <w:t>ß</w:t>
      </w:r>
      <w:r w:rsidRPr="0046220B">
        <w:rPr>
          <w:rFonts w:eastAsia="Times New Roman" w:cstheme="minorHAnsi"/>
          <w:color w:val="000000" w:themeColor="text1"/>
          <w:szCs w:val="20"/>
          <w:lang w:eastAsia="de-DE"/>
        </w:rPr>
        <w:t xml:space="preserve">nahmen müssen einzelfallspezifisch, langfristig und zu unterschiedlichen Zeitpunkten erfolgen. Eine vertrauensvolle Arbeitsbeziehung zu den </w:t>
      </w:r>
      <w:proofErr w:type="gramStart"/>
      <w:r w:rsidRPr="0046220B">
        <w:rPr>
          <w:rFonts w:eastAsia="Times New Roman" w:cstheme="minorHAnsi"/>
          <w:color w:val="000000" w:themeColor="text1"/>
          <w:szCs w:val="20"/>
          <w:lang w:eastAsia="de-DE"/>
        </w:rPr>
        <w:t>Klient:innen</w:t>
      </w:r>
      <w:proofErr w:type="gramEnd"/>
      <w:r w:rsidRPr="0046220B">
        <w:rPr>
          <w:rFonts w:eastAsia="Times New Roman" w:cstheme="minorHAnsi"/>
          <w:color w:val="000000" w:themeColor="text1"/>
          <w:szCs w:val="20"/>
          <w:lang w:eastAsia="de-DE"/>
        </w:rPr>
        <w:t xml:space="preserve"> ist hierfür unverzichtbar. Restriktive Sicherheitsmaßnahmen, wie der Bürgerrechtsentzug</w:t>
      </w:r>
      <w:r w:rsidR="00786D85" w:rsidRPr="0046220B">
        <w:rPr>
          <w:rFonts w:eastAsia="Times New Roman" w:cstheme="minorHAnsi"/>
          <w:color w:val="000000" w:themeColor="text1"/>
          <w:szCs w:val="20"/>
          <w:lang w:eastAsia="de-DE"/>
        </w:rPr>
        <w:t>,</w:t>
      </w:r>
      <w:r w:rsidRPr="0046220B">
        <w:rPr>
          <w:rFonts w:eastAsia="Times New Roman" w:cstheme="minorHAnsi"/>
          <w:color w:val="000000" w:themeColor="text1"/>
          <w:szCs w:val="20"/>
          <w:lang w:eastAsia="de-DE"/>
        </w:rPr>
        <w:t xml:space="preserve"> stehen mit dieser Zielsetzung im Widerspruch. </w:t>
      </w:r>
      <w:r w:rsidRPr="0046220B">
        <w:rPr>
          <w:rFonts w:eastAsia="Times New Roman" w:cstheme="minorHAnsi"/>
          <w:color w:val="000000" w:themeColor="text1"/>
          <w:szCs w:val="20"/>
          <w:lang w:eastAsia="de-DE"/>
        </w:rPr>
        <w:br w:type="page"/>
      </w:r>
    </w:p>
    <w:p w14:paraId="2646089E" w14:textId="33D5764E" w:rsidR="003C268C" w:rsidRPr="00470201" w:rsidRDefault="003C268C" w:rsidP="003C268C">
      <w:pPr>
        <w:spacing w:line="276" w:lineRule="auto"/>
        <w:jc w:val="both"/>
        <w:rPr>
          <w:rFonts w:ascii="Calibri" w:eastAsia="Calibri" w:hAnsi="Calibri" w:cs="Times New Roman"/>
          <w:color w:val="016D72"/>
          <w:sz w:val="32"/>
          <w:szCs w:val="32"/>
        </w:rPr>
      </w:pPr>
      <w:r w:rsidRPr="00470201">
        <w:rPr>
          <w:rFonts w:ascii="Calibri" w:eastAsia="Calibri" w:hAnsi="Calibri" w:cs="Times New Roman"/>
          <w:color w:val="016D72"/>
          <w:sz w:val="32"/>
          <w:szCs w:val="32"/>
        </w:rPr>
        <w:lastRenderedPageBreak/>
        <w:t>Literaturverzeichnis</w:t>
      </w:r>
    </w:p>
    <w:p w14:paraId="6078A702" w14:textId="6EC4E812" w:rsidR="003C268C" w:rsidRPr="0046220B" w:rsidRDefault="003C268C" w:rsidP="003C268C">
      <w:pPr>
        <w:spacing w:line="276" w:lineRule="auto"/>
        <w:jc w:val="both"/>
        <w:rPr>
          <w:rFonts w:cstheme="minorHAnsi"/>
          <w:color w:val="000000" w:themeColor="text1"/>
        </w:rPr>
      </w:pPr>
      <w:r w:rsidRPr="0046220B">
        <w:rPr>
          <w:rFonts w:cstheme="minorHAnsi"/>
          <w:color w:val="000000" w:themeColor="text1"/>
        </w:rPr>
        <w:t>Achermann, Alberto</w:t>
      </w:r>
      <w:r w:rsidR="006101D8">
        <w:rPr>
          <w:rFonts w:cstheme="minorHAnsi"/>
          <w:color w:val="000000" w:themeColor="text1"/>
        </w:rPr>
        <w:t xml:space="preserve">. </w:t>
      </w:r>
      <w:r w:rsidRPr="0046220B">
        <w:rPr>
          <w:rFonts w:cstheme="minorHAnsi"/>
          <w:color w:val="000000" w:themeColor="text1"/>
        </w:rPr>
        <w:t>2015</w:t>
      </w:r>
      <w:r w:rsidR="006101D8">
        <w:rPr>
          <w:rFonts w:cstheme="minorHAnsi"/>
          <w:color w:val="000000" w:themeColor="text1"/>
        </w:rPr>
        <w:t>.</w:t>
      </w:r>
      <w:r w:rsidRPr="0046220B">
        <w:rPr>
          <w:rFonts w:cstheme="minorHAnsi"/>
          <w:color w:val="000000" w:themeColor="text1"/>
        </w:rPr>
        <w:t xml:space="preserve"> </w:t>
      </w:r>
      <w:r w:rsidR="00D4583F">
        <w:rPr>
          <w:rFonts w:cstheme="minorHAnsi"/>
          <w:color w:val="000000" w:themeColor="text1"/>
        </w:rPr>
        <w:t>„</w:t>
      </w:r>
      <w:r w:rsidRPr="0046220B">
        <w:rPr>
          <w:rFonts w:cstheme="minorHAnsi"/>
          <w:color w:val="000000" w:themeColor="text1"/>
        </w:rPr>
        <w:t>Kurzgutachten zum Entzug des Bürgerrechts nach Artikel 48 BüG</w:t>
      </w:r>
      <w:r w:rsidR="00D4583F">
        <w:rPr>
          <w:rFonts w:cstheme="minorHAnsi"/>
          <w:color w:val="000000" w:themeColor="text1"/>
        </w:rPr>
        <w:t>“</w:t>
      </w:r>
      <w:r w:rsidRPr="0046220B">
        <w:rPr>
          <w:rFonts w:cstheme="minorHAnsi"/>
          <w:color w:val="000000" w:themeColor="text1"/>
        </w:rPr>
        <w:t>. Bern. URL:</w:t>
      </w:r>
      <w:r w:rsidR="006101D8">
        <w:rPr>
          <w:rFonts w:cstheme="minorHAnsi"/>
          <w:color w:val="000000" w:themeColor="text1"/>
        </w:rPr>
        <w:t xml:space="preserve"> </w:t>
      </w:r>
      <w:hyperlink r:id="rId12" w:history="1">
        <w:r w:rsidR="001C5E7F" w:rsidRPr="00687E65">
          <w:rPr>
            <w:rStyle w:val="Hyperlink"/>
            <w:rFonts w:cstheme="minorHAnsi"/>
          </w:rPr>
          <w:t>https://www.migrationpolicy.org/article/foreign-fighters-will-revoking-citizenship-mitigate-threat</w:t>
        </w:r>
      </w:hyperlink>
      <w:r w:rsidR="001C5E7F">
        <w:rPr>
          <w:rFonts w:cstheme="minorHAnsi"/>
          <w:color w:val="000000" w:themeColor="text1"/>
        </w:rPr>
        <w:t xml:space="preserve"> </w:t>
      </w:r>
      <w:r w:rsidRPr="0046220B">
        <w:rPr>
          <w:rFonts w:cstheme="minorHAnsi"/>
          <w:color w:val="000000" w:themeColor="text1"/>
        </w:rPr>
        <w:t>[zuletzt abgerufen am: 06.06.2024].</w:t>
      </w:r>
    </w:p>
    <w:p w14:paraId="573CB261" w14:textId="44307F05" w:rsidR="00EE5913" w:rsidRPr="00BA689A" w:rsidRDefault="00EE5913" w:rsidP="00EE5913">
      <w:pPr>
        <w:spacing w:line="276" w:lineRule="auto"/>
        <w:jc w:val="both"/>
        <w:rPr>
          <w:rFonts w:cstheme="minorHAnsi"/>
          <w:color w:val="000000" w:themeColor="text1"/>
          <w:lang w:val="it-CH"/>
        </w:rPr>
      </w:pPr>
      <w:r w:rsidRPr="0056252B">
        <w:rPr>
          <w:rFonts w:cstheme="minorHAnsi"/>
          <w:color w:val="000000" w:themeColor="text1"/>
          <w:lang w:val="it-CH"/>
        </w:rPr>
        <w:t>Banulescu-Bogdan, Natalia</w:t>
      </w:r>
      <w:r w:rsidR="00127003">
        <w:rPr>
          <w:rFonts w:cstheme="minorHAnsi"/>
          <w:color w:val="000000" w:themeColor="text1"/>
          <w:lang w:val="it-CH"/>
        </w:rPr>
        <w:t>;</w:t>
      </w:r>
      <w:r>
        <w:rPr>
          <w:rFonts w:cstheme="minorHAnsi"/>
          <w:color w:val="000000" w:themeColor="text1"/>
          <w:lang w:val="it-CH"/>
        </w:rPr>
        <w:t xml:space="preserve"> </w:t>
      </w:r>
      <w:r w:rsidR="00BA689A" w:rsidRPr="0056252B">
        <w:rPr>
          <w:rFonts w:cstheme="minorHAnsi"/>
          <w:color w:val="000000" w:themeColor="text1"/>
          <w:lang w:val="it-CH"/>
        </w:rPr>
        <w:t>Benton</w:t>
      </w:r>
      <w:r w:rsidR="00BA689A">
        <w:rPr>
          <w:rFonts w:cstheme="minorHAnsi"/>
          <w:color w:val="000000" w:themeColor="text1"/>
          <w:lang w:val="it-CH"/>
        </w:rPr>
        <w:t>,</w:t>
      </w:r>
      <w:r w:rsidR="00BA689A" w:rsidRPr="0056252B">
        <w:rPr>
          <w:rFonts w:cstheme="minorHAnsi"/>
          <w:color w:val="000000" w:themeColor="text1"/>
          <w:lang w:val="it-CH"/>
        </w:rPr>
        <w:t xml:space="preserve"> </w:t>
      </w:r>
      <w:r w:rsidRPr="0056252B">
        <w:rPr>
          <w:rFonts w:cstheme="minorHAnsi"/>
          <w:color w:val="000000" w:themeColor="text1"/>
          <w:lang w:val="it-CH"/>
        </w:rPr>
        <w:t>Meghan.</w:t>
      </w:r>
      <w:r>
        <w:rPr>
          <w:rFonts w:cstheme="minorHAnsi"/>
          <w:color w:val="000000" w:themeColor="text1"/>
          <w:lang w:val="it-CH"/>
        </w:rPr>
        <w:t xml:space="preserve"> </w:t>
      </w:r>
      <w:proofErr w:type="gramStart"/>
      <w:r w:rsidR="00470201" w:rsidRPr="0056252B">
        <w:rPr>
          <w:rFonts w:cstheme="minorHAnsi"/>
          <w:color w:val="000000" w:themeColor="text1"/>
          <w:lang w:val="en-US"/>
        </w:rPr>
        <w:t>2019</w:t>
      </w:r>
      <w:r w:rsidR="00470201">
        <w:rPr>
          <w:rFonts w:cstheme="minorHAnsi"/>
          <w:color w:val="000000" w:themeColor="text1"/>
          <w:lang w:val="en-US"/>
        </w:rPr>
        <w:t xml:space="preserve">. </w:t>
      </w:r>
      <w:r w:rsidR="00470201" w:rsidRPr="00470201">
        <w:rPr>
          <w:rFonts w:cstheme="minorHAnsi"/>
          <w:color w:val="000000" w:themeColor="text1"/>
          <w:lang w:val="en-GB"/>
        </w:rPr>
        <w:t>„</w:t>
      </w:r>
      <w:proofErr w:type="gramEnd"/>
      <w:r w:rsidRPr="0056252B">
        <w:rPr>
          <w:rFonts w:cstheme="minorHAnsi"/>
          <w:color w:val="000000" w:themeColor="text1"/>
          <w:lang w:val="en-US"/>
        </w:rPr>
        <w:t xml:space="preserve">Foreign Fighters: Will Revoking Citizenship Mitigate the </w:t>
      </w:r>
      <w:proofErr w:type="gramStart"/>
      <w:r w:rsidRPr="0056252B">
        <w:rPr>
          <w:rFonts w:cstheme="minorHAnsi"/>
          <w:color w:val="000000" w:themeColor="text1"/>
          <w:lang w:val="en-US"/>
        </w:rPr>
        <w:t>Threat?</w:t>
      </w:r>
      <w:r w:rsidR="00311779" w:rsidRPr="00470201">
        <w:rPr>
          <w:rFonts w:cstheme="minorHAnsi"/>
          <w:color w:val="000000" w:themeColor="text1"/>
          <w:lang w:val="en-US"/>
        </w:rPr>
        <w:t>“</w:t>
      </w:r>
      <w:proofErr w:type="gramEnd"/>
      <w:r w:rsidRPr="0056252B">
        <w:rPr>
          <w:rFonts w:cstheme="minorHAnsi"/>
          <w:color w:val="000000" w:themeColor="text1"/>
          <w:lang w:val="en-US"/>
        </w:rPr>
        <w:t xml:space="preserve"> Migration Policy Institute. </w:t>
      </w:r>
      <w:r w:rsidRPr="001363CB">
        <w:rPr>
          <w:rFonts w:cstheme="minorHAnsi"/>
          <w:color w:val="000000" w:themeColor="text1"/>
          <w:lang w:val="en-US"/>
        </w:rPr>
        <w:t xml:space="preserve">URL: https://www.migrationpolicy.org/article/foreign-fighters-will-revoking-citizenship-mitigate-threat. </w:t>
      </w:r>
      <w:r w:rsidRPr="0056252B">
        <w:rPr>
          <w:rFonts w:cstheme="minorHAnsi"/>
          <w:color w:val="000000" w:themeColor="text1"/>
          <w:lang w:val="de-CH"/>
        </w:rPr>
        <w:t>[zuletzt abgerufen am: 15</w:t>
      </w:r>
      <w:r>
        <w:rPr>
          <w:rFonts w:cstheme="minorHAnsi"/>
          <w:color w:val="000000" w:themeColor="text1"/>
          <w:lang w:val="de-CH"/>
        </w:rPr>
        <w:t>.04.2025].</w:t>
      </w:r>
    </w:p>
    <w:p w14:paraId="4F9BC1F0" w14:textId="34D2AE65" w:rsidR="003C268C" w:rsidRPr="0046220B" w:rsidRDefault="003C268C" w:rsidP="003C268C">
      <w:pPr>
        <w:spacing w:line="276" w:lineRule="auto"/>
        <w:jc w:val="both"/>
        <w:rPr>
          <w:rFonts w:cstheme="minorHAnsi"/>
          <w:color w:val="000000" w:themeColor="text1"/>
        </w:rPr>
      </w:pPr>
      <w:r w:rsidRPr="0046220B">
        <w:rPr>
          <w:rFonts w:cstheme="minorHAnsi"/>
          <w:color w:val="000000" w:themeColor="text1"/>
        </w:rPr>
        <w:t>Baumann, Annina</w:t>
      </w:r>
      <w:r w:rsidR="00BB4AE8">
        <w:rPr>
          <w:rFonts w:cstheme="minorHAnsi"/>
          <w:color w:val="000000" w:themeColor="text1"/>
        </w:rPr>
        <w:t>;</w:t>
      </w:r>
      <w:r w:rsidRPr="0046220B">
        <w:rPr>
          <w:rFonts w:cstheme="minorHAnsi"/>
          <w:color w:val="000000" w:themeColor="text1"/>
        </w:rPr>
        <w:t xml:space="preserve"> Laurent, Luks</w:t>
      </w:r>
      <w:r w:rsidR="00BB4AE8">
        <w:rPr>
          <w:rFonts w:cstheme="minorHAnsi"/>
          <w:color w:val="000000" w:themeColor="text1"/>
        </w:rPr>
        <w:t>;</w:t>
      </w:r>
      <w:r w:rsidRPr="0046220B">
        <w:rPr>
          <w:rFonts w:cstheme="minorHAnsi"/>
          <w:color w:val="000000" w:themeColor="text1"/>
        </w:rPr>
        <w:t xml:space="preserve"> Sebeledi, Daniela</w:t>
      </w:r>
      <w:r w:rsidR="00670394">
        <w:rPr>
          <w:rFonts w:cstheme="minorHAnsi"/>
          <w:color w:val="000000" w:themeColor="text1"/>
        </w:rPr>
        <w:t>;</w:t>
      </w:r>
      <w:r w:rsidRPr="0046220B">
        <w:rPr>
          <w:rFonts w:cstheme="minorHAnsi"/>
          <w:color w:val="000000" w:themeColor="text1"/>
        </w:rPr>
        <w:t xml:space="preserve"> Allemann, Urs</w:t>
      </w:r>
      <w:r w:rsidR="00D4583F">
        <w:rPr>
          <w:rFonts w:cstheme="minorHAnsi"/>
          <w:color w:val="000000" w:themeColor="text1"/>
        </w:rPr>
        <w:t xml:space="preserve">. </w:t>
      </w:r>
      <w:r w:rsidRPr="0046220B">
        <w:rPr>
          <w:rFonts w:cstheme="minorHAnsi"/>
          <w:color w:val="000000" w:themeColor="text1"/>
        </w:rPr>
        <w:t>2022</w:t>
      </w:r>
      <w:r w:rsidR="00D4583F">
        <w:rPr>
          <w:rFonts w:cstheme="minorHAnsi"/>
          <w:color w:val="000000" w:themeColor="text1"/>
        </w:rPr>
        <w:t>.</w:t>
      </w:r>
      <w:r w:rsidRPr="0046220B">
        <w:rPr>
          <w:rFonts w:cstheme="minorHAnsi"/>
          <w:color w:val="000000" w:themeColor="text1"/>
        </w:rPr>
        <w:t xml:space="preserve"> </w:t>
      </w:r>
      <w:r w:rsidR="00D4583F">
        <w:rPr>
          <w:rFonts w:cstheme="minorHAnsi"/>
          <w:color w:val="000000" w:themeColor="text1"/>
        </w:rPr>
        <w:t>„</w:t>
      </w:r>
      <w:r w:rsidRPr="0046220B">
        <w:rPr>
          <w:rFonts w:cstheme="minorHAnsi"/>
          <w:color w:val="000000" w:themeColor="text1"/>
        </w:rPr>
        <w:t>Radikalisierung in der Schweiz</w:t>
      </w:r>
      <w:r w:rsidR="00D4583F">
        <w:rPr>
          <w:rFonts w:cstheme="minorHAnsi"/>
          <w:color w:val="000000" w:themeColor="text1"/>
        </w:rPr>
        <w:t>“</w:t>
      </w:r>
      <w:r w:rsidRPr="0046220B">
        <w:rPr>
          <w:rFonts w:cstheme="minorHAnsi"/>
          <w:color w:val="000000" w:themeColor="text1"/>
        </w:rPr>
        <w:t xml:space="preserve">. Ein Handbuch der Anlauf- und Fachstellen aus Basel, Bern, Genf und Winterthur. </w:t>
      </w:r>
    </w:p>
    <w:p w14:paraId="3BB95022" w14:textId="7C77004F" w:rsidR="003C268C" w:rsidRPr="001363CB" w:rsidRDefault="003C268C" w:rsidP="003C268C">
      <w:pPr>
        <w:spacing w:line="276" w:lineRule="auto"/>
        <w:jc w:val="both"/>
        <w:rPr>
          <w:rFonts w:cstheme="minorHAnsi"/>
          <w:color w:val="000000" w:themeColor="text1"/>
          <w:lang w:val="nl-NL"/>
        </w:rPr>
      </w:pPr>
      <w:r w:rsidRPr="0056252B">
        <w:rPr>
          <w:rFonts w:cstheme="minorHAnsi"/>
          <w:color w:val="000000" w:themeColor="text1"/>
          <w:lang w:val="de-CH"/>
        </w:rPr>
        <w:t>Biaggini, Giovanni</w:t>
      </w:r>
      <w:r w:rsidR="00670394">
        <w:rPr>
          <w:rFonts w:cstheme="minorHAnsi"/>
          <w:color w:val="000000" w:themeColor="text1"/>
          <w:lang w:val="de-CH"/>
        </w:rPr>
        <w:t>;</w:t>
      </w:r>
      <w:r w:rsidRPr="0056252B">
        <w:rPr>
          <w:rFonts w:cstheme="minorHAnsi"/>
          <w:color w:val="000000" w:themeColor="text1"/>
          <w:lang w:val="de-CH"/>
        </w:rPr>
        <w:t xml:space="preserve"> Gächter, Thomas</w:t>
      </w:r>
      <w:r w:rsidR="00670394">
        <w:rPr>
          <w:rFonts w:cstheme="minorHAnsi"/>
          <w:color w:val="000000" w:themeColor="text1"/>
          <w:lang w:val="de-CH"/>
        </w:rPr>
        <w:t>;</w:t>
      </w:r>
      <w:r w:rsidRPr="0056252B">
        <w:rPr>
          <w:rFonts w:cstheme="minorHAnsi"/>
          <w:color w:val="000000" w:themeColor="text1"/>
          <w:lang w:val="de-CH"/>
        </w:rPr>
        <w:t xml:space="preserve"> Kiener Regina (Hrsg.)</w:t>
      </w:r>
      <w:r w:rsidR="00D4583F" w:rsidRPr="0056252B">
        <w:rPr>
          <w:rFonts w:cstheme="minorHAnsi"/>
          <w:color w:val="000000" w:themeColor="text1"/>
          <w:lang w:val="de-CH"/>
        </w:rPr>
        <w:t xml:space="preserve">. </w:t>
      </w:r>
      <w:r w:rsidRPr="001363CB">
        <w:rPr>
          <w:rFonts w:cstheme="minorHAnsi"/>
          <w:color w:val="000000" w:themeColor="text1"/>
          <w:lang w:val="nl-NL"/>
        </w:rPr>
        <w:t>2021</w:t>
      </w:r>
      <w:r w:rsidR="00D4583F" w:rsidRPr="001363CB">
        <w:rPr>
          <w:rFonts w:cstheme="minorHAnsi"/>
          <w:color w:val="000000" w:themeColor="text1"/>
          <w:lang w:val="nl-NL"/>
        </w:rPr>
        <w:t>.</w:t>
      </w:r>
      <w:r w:rsidRPr="001363CB">
        <w:rPr>
          <w:rFonts w:cstheme="minorHAnsi"/>
          <w:color w:val="000000" w:themeColor="text1"/>
          <w:lang w:val="nl-NL"/>
        </w:rPr>
        <w:t xml:space="preserve"> </w:t>
      </w:r>
      <w:r w:rsidR="00D4583F" w:rsidRPr="001363CB">
        <w:rPr>
          <w:rFonts w:cstheme="minorHAnsi"/>
          <w:color w:val="000000" w:themeColor="text1"/>
          <w:lang w:val="nl-NL"/>
        </w:rPr>
        <w:t>„</w:t>
      </w:r>
      <w:r w:rsidRPr="001363CB">
        <w:rPr>
          <w:rFonts w:cstheme="minorHAnsi"/>
          <w:color w:val="000000" w:themeColor="text1"/>
          <w:lang w:val="nl-NL"/>
        </w:rPr>
        <w:t>Staatsrecht</w:t>
      </w:r>
      <w:r w:rsidR="00D4583F" w:rsidRPr="001363CB">
        <w:rPr>
          <w:rFonts w:cstheme="minorHAnsi"/>
          <w:color w:val="000000" w:themeColor="text1"/>
          <w:lang w:val="nl-NL"/>
        </w:rPr>
        <w:t>“</w:t>
      </w:r>
      <w:r w:rsidRPr="001363CB">
        <w:rPr>
          <w:rFonts w:cstheme="minorHAnsi"/>
          <w:color w:val="000000" w:themeColor="text1"/>
          <w:lang w:val="nl-NL"/>
        </w:rPr>
        <w:t>. 3. Aufl. Zürich: Dike.</w:t>
      </w:r>
    </w:p>
    <w:p w14:paraId="7F2EC24E" w14:textId="2AD63FCB" w:rsidR="003C268C" w:rsidRPr="00A361BD" w:rsidRDefault="003C268C" w:rsidP="003C268C">
      <w:pPr>
        <w:spacing w:line="276" w:lineRule="auto"/>
        <w:jc w:val="both"/>
        <w:rPr>
          <w:rFonts w:cstheme="minorHAnsi"/>
          <w:color w:val="000000" w:themeColor="text1"/>
          <w:lang w:val="en-US"/>
        </w:rPr>
      </w:pPr>
      <w:r w:rsidRPr="001363CB">
        <w:rPr>
          <w:rFonts w:cstheme="minorHAnsi"/>
          <w:color w:val="000000" w:themeColor="text1"/>
          <w:lang w:val="nl-NL"/>
        </w:rPr>
        <w:t>Bolhuis, Maarten</w:t>
      </w:r>
      <w:r w:rsidR="006F7478">
        <w:rPr>
          <w:rFonts w:cstheme="minorHAnsi"/>
          <w:color w:val="000000" w:themeColor="text1"/>
          <w:lang w:val="nl-NL"/>
        </w:rPr>
        <w:t>;</w:t>
      </w:r>
      <w:r w:rsidRPr="001363CB">
        <w:rPr>
          <w:rFonts w:cstheme="minorHAnsi"/>
          <w:color w:val="000000" w:themeColor="text1"/>
          <w:lang w:val="nl-NL"/>
        </w:rPr>
        <w:t xml:space="preserve"> van Wijk, Joris</w:t>
      </w:r>
      <w:r w:rsidR="00D4583F" w:rsidRPr="001363CB">
        <w:rPr>
          <w:rFonts w:cstheme="minorHAnsi"/>
          <w:color w:val="000000" w:themeColor="text1"/>
          <w:lang w:val="nl-NL"/>
        </w:rPr>
        <w:t xml:space="preserve">. </w:t>
      </w:r>
      <w:r w:rsidRPr="00981950">
        <w:rPr>
          <w:rFonts w:cstheme="minorHAnsi"/>
          <w:color w:val="000000" w:themeColor="text1"/>
          <w:lang w:val="en-US"/>
        </w:rPr>
        <w:t>2020</w:t>
      </w:r>
      <w:r w:rsidR="00D4583F" w:rsidRPr="00981950">
        <w:rPr>
          <w:rFonts w:cstheme="minorHAnsi"/>
          <w:color w:val="000000" w:themeColor="text1"/>
          <w:lang w:val="en-US"/>
        </w:rPr>
        <w:t>.</w:t>
      </w:r>
      <w:r w:rsidRPr="00981950">
        <w:rPr>
          <w:rFonts w:cstheme="minorHAnsi"/>
          <w:color w:val="000000" w:themeColor="text1"/>
          <w:lang w:val="en-US"/>
        </w:rPr>
        <w:t xml:space="preserve"> </w:t>
      </w:r>
      <w:r w:rsidR="00D4583F" w:rsidRPr="00D4583F">
        <w:rPr>
          <w:rFonts w:cstheme="minorHAnsi"/>
          <w:color w:val="000000" w:themeColor="text1"/>
          <w:lang w:val="en-US"/>
        </w:rPr>
        <w:t>„</w:t>
      </w:r>
      <w:r w:rsidRPr="00D4583F">
        <w:rPr>
          <w:rFonts w:cstheme="minorHAnsi"/>
          <w:color w:val="000000" w:themeColor="text1"/>
          <w:lang w:val="en-US"/>
        </w:rPr>
        <w:t>Citizenship Deprivation as a Counterterrorism Measure in Europe; Possible Follow-Up Scenarios, Human Right Infringements and the Effect on Counterterrorism</w:t>
      </w:r>
      <w:r w:rsidR="00D4583F" w:rsidRPr="00D4583F">
        <w:rPr>
          <w:rFonts w:cstheme="minorHAnsi"/>
          <w:color w:val="000000" w:themeColor="text1"/>
          <w:lang w:val="en-US"/>
        </w:rPr>
        <w:t>”.</w:t>
      </w:r>
      <w:r w:rsidRPr="00D4583F">
        <w:rPr>
          <w:rFonts w:cstheme="minorHAnsi"/>
          <w:color w:val="000000" w:themeColor="text1"/>
          <w:lang w:val="en-US"/>
        </w:rPr>
        <w:t xml:space="preserve"> </w:t>
      </w:r>
      <w:r w:rsidRPr="00A361BD">
        <w:rPr>
          <w:rFonts w:cstheme="minorHAnsi"/>
          <w:color w:val="000000" w:themeColor="text1"/>
          <w:lang w:val="en-US"/>
        </w:rPr>
        <w:t>European Journal of Migration and Law 22 (2022), 338–365.</w:t>
      </w:r>
    </w:p>
    <w:p w14:paraId="3C496062" w14:textId="7B83FAF8" w:rsidR="003C268C" w:rsidRPr="00D4583F" w:rsidRDefault="003C268C" w:rsidP="003C268C">
      <w:pPr>
        <w:spacing w:line="276" w:lineRule="auto"/>
        <w:jc w:val="both"/>
        <w:rPr>
          <w:rFonts w:cstheme="minorHAnsi"/>
          <w:color w:val="000000" w:themeColor="text1"/>
        </w:rPr>
      </w:pPr>
      <w:r w:rsidRPr="00A361BD">
        <w:rPr>
          <w:rFonts w:cstheme="minorHAnsi"/>
          <w:color w:val="000000" w:themeColor="text1"/>
          <w:lang w:val="en-US"/>
        </w:rPr>
        <w:t>Caroni, Martina</w:t>
      </w:r>
      <w:r w:rsidR="00D122FA">
        <w:rPr>
          <w:rFonts w:cstheme="minorHAnsi"/>
          <w:color w:val="000000" w:themeColor="text1"/>
          <w:lang w:val="en-US"/>
        </w:rPr>
        <w:t>;</w:t>
      </w:r>
      <w:r w:rsidRPr="00A361BD">
        <w:rPr>
          <w:rFonts w:cstheme="minorHAnsi"/>
          <w:color w:val="000000" w:themeColor="text1"/>
          <w:lang w:val="en-US"/>
        </w:rPr>
        <w:t xml:space="preserve"> Scheiber, Nicole</w:t>
      </w:r>
      <w:r w:rsidR="00D122FA">
        <w:rPr>
          <w:rFonts w:cstheme="minorHAnsi"/>
          <w:color w:val="000000" w:themeColor="text1"/>
          <w:lang w:val="en-US"/>
        </w:rPr>
        <w:t>;</w:t>
      </w:r>
      <w:r w:rsidRPr="00A361BD">
        <w:rPr>
          <w:rFonts w:cstheme="minorHAnsi"/>
          <w:color w:val="000000" w:themeColor="text1"/>
          <w:lang w:val="en-US"/>
        </w:rPr>
        <w:t xml:space="preserve"> Preisig, Christa</w:t>
      </w:r>
      <w:r w:rsidR="00D91242">
        <w:rPr>
          <w:rFonts w:cstheme="minorHAnsi"/>
          <w:color w:val="000000" w:themeColor="text1"/>
          <w:lang w:val="en-US"/>
        </w:rPr>
        <w:t>;</w:t>
      </w:r>
      <w:r w:rsidRPr="00A361BD">
        <w:rPr>
          <w:rFonts w:cstheme="minorHAnsi"/>
          <w:color w:val="000000" w:themeColor="text1"/>
          <w:lang w:val="en-US"/>
        </w:rPr>
        <w:t xml:space="preserve"> Plozza, Monika</w:t>
      </w:r>
      <w:r w:rsidR="00D4583F" w:rsidRPr="00A361BD">
        <w:rPr>
          <w:rFonts w:cstheme="minorHAnsi"/>
          <w:color w:val="000000" w:themeColor="text1"/>
          <w:lang w:val="en-US"/>
        </w:rPr>
        <w:t xml:space="preserve">. </w:t>
      </w:r>
      <w:r w:rsidRPr="00D4583F">
        <w:rPr>
          <w:rFonts w:cstheme="minorHAnsi"/>
          <w:color w:val="000000" w:themeColor="text1"/>
        </w:rPr>
        <w:t>2022</w:t>
      </w:r>
      <w:r w:rsidR="00D4583F" w:rsidRPr="00D4583F">
        <w:rPr>
          <w:rFonts w:cstheme="minorHAnsi"/>
          <w:color w:val="000000" w:themeColor="text1"/>
        </w:rPr>
        <w:t>.</w:t>
      </w:r>
      <w:r w:rsidRPr="00D4583F">
        <w:rPr>
          <w:rFonts w:cstheme="minorHAnsi"/>
          <w:color w:val="000000" w:themeColor="text1"/>
        </w:rPr>
        <w:t xml:space="preserve"> </w:t>
      </w:r>
      <w:r w:rsidR="00D4583F">
        <w:rPr>
          <w:rFonts w:cstheme="minorHAnsi"/>
          <w:color w:val="000000" w:themeColor="text1"/>
        </w:rPr>
        <w:t>„</w:t>
      </w:r>
      <w:r w:rsidRPr="00D4583F">
        <w:rPr>
          <w:rFonts w:cstheme="minorHAnsi"/>
          <w:color w:val="000000" w:themeColor="text1"/>
        </w:rPr>
        <w:t>Migrationsrecht</w:t>
      </w:r>
      <w:r w:rsidR="00D4583F" w:rsidRPr="00D4583F">
        <w:rPr>
          <w:rFonts w:cstheme="minorHAnsi"/>
          <w:color w:val="000000" w:themeColor="text1"/>
        </w:rPr>
        <w:t>”</w:t>
      </w:r>
      <w:r w:rsidRPr="00D4583F">
        <w:rPr>
          <w:rFonts w:cstheme="minorHAnsi"/>
          <w:color w:val="000000" w:themeColor="text1"/>
        </w:rPr>
        <w:t>. 5. Aufl. Bern: Stämpfli.</w:t>
      </w:r>
    </w:p>
    <w:p w14:paraId="2AD45287" w14:textId="302FCB1A" w:rsidR="003C268C" w:rsidRPr="00D4583F" w:rsidRDefault="003C268C" w:rsidP="003C268C">
      <w:pPr>
        <w:spacing w:line="276" w:lineRule="auto"/>
        <w:jc w:val="both"/>
        <w:rPr>
          <w:rFonts w:cstheme="minorHAnsi"/>
          <w:color w:val="000000" w:themeColor="text1"/>
        </w:rPr>
      </w:pPr>
      <w:r w:rsidRPr="005E00B3">
        <w:rPr>
          <w:rFonts w:cstheme="minorHAnsi"/>
          <w:color w:val="000000" w:themeColor="text1"/>
          <w:lang w:val="en-GB"/>
        </w:rPr>
        <w:t>Center for Security Studies (CSS)</w:t>
      </w:r>
      <w:r w:rsidR="00D4583F" w:rsidRPr="005E00B3">
        <w:rPr>
          <w:rFonts w:cstheme="minorHAnsi"/>
          <w:color w:val="000000" w:themeColor="text1"/>
          <w:lang w:val="en-GB"/>
        </w:rPr>
        <w:t xml:space="preserve">. </w:t>
      </w:r>
      <w:r w:rsidRPr="005E00B3">
        <w:rPr>
          <w:rFonts w:cstheme="minorHAnsi"/>
          <w:color w:val="000000" w:themeColor="text1"/>
          <w:lang w:val="en-GB"/>
        </w:rPr>
        <w:t>2009</w:t>
      </w:r>
      <w:r w:rsidR="00D4583F" w:rsidRPr="005E00B3">
        <w:rPr>
          <w:rFonts w:cstheme="minorHAnsi"/>
          <w:color w:val="000000" w:themeColor="text1"/>
          <w:lang w:val="en-GB"/>
        </w:rPr>
        <w:t xml:space="preserve">. </w:t>
      </w:r>
      <w:r w:rsidR="00D4583F">
        <w:rPr>
          <w:rFonts w:cstheme="minorHAnsi"/>
          <w:color w:val="000000" w:themeColor="text1"/>
        </w:rPr>
        <w:t>„</w:t>
      </w:r>
      <w:r w:rsidRPr="00D4583F">
        <w:rPr>
          <w:rFonts w:cstheme="minorHAnsi"/>
          <w:color w:val="000000" w:themeColor="text1"/>
        </w:rPr>
        <w:t xml:space="preserve">Kampf </w:t>
      </w:r>
      <w:r w:rsidR="00997BED">
        <w:rPr>
          <w:rFonts w:cstheme="minorHAnsi"/>
          <w:color w:val="000000" w:themeColor="text1"/>
        </w:rPr>
        <w:t>g</w:t>
      </w:r>
      <w:r w:rsidRPr="00D4583F">
        <w:rPr>
          <w:rFonts w:cstheme="minorHAnsi"/>
          <w:color w:val="000000" w:themeColor="text1"/>
        </w:rPr>
        <w:t xml:space="preserve">egen den Terrorismus: Eine </w:t>
      </w:r>
      <w:proofErr w:type="gramStart"/>
      <w:r w:rsidRPr="00D4583F">
        <w:rPr>
          <w:rFonts w:cstheme="minorHAnsi"/>
          <w:color w:val="000000" w:themeColor="text1"/>
        </w:rPr>
        <w:t>Zwischenbilanz</w:t>
      </w:r>
      <w:r w:rsidR="00D4583F">
        <w:rPr>
          <w:rFonts w:cstheme="minorHAnsi"/>
          <w:color w:val="000000" w:themeColor="text1"/>
        </w:rPr>
        <w:t>“</w:t>
      </w:r>
      <w:proofErr w:type="gramEnd"/>
      <w:r w:rsidRPr="00D4583F">
        <w:rPr>
          <w:rFonts w:cstheme="minorHAnsi"/>
          <w:color w:val="000000" w:themeColor="text1"/>
        </w:rPr>
        <w:t xml:space="preserve">. </w:t>
      </w:r>
      <w:proofErr w:type="gramStart"/>
      <w:r w:rsidRPr="00D4583F">
        <w:rPr>
          <w:rFonts w:cstheme="minorHAnsi"/>
          <w:color w:val="000000" w:themeColor="text1"/>
        </w:rPr>
        <w:t>CSS Analysen</w:t>
      </w:r>
      <w:proofErr w:type="gramEnd"/>
      <w:r w:rsidRPr="00D4583F">
        <w:rPr>
          <w:rFonts w:cstheme="minorHAnsi"/>
          <w:color w:val="000000" w:themeColor="text1"/>
        </w:rPr>
        <w:t xml:space="preserve"> zur Sicherheitspolitik. Nr. 48 Februar 2009. ETH Zürich. </w:t>
      </w:r>
    </w:p>
    <w:p w14:paraId="6C3E8EBB" w14:textId="7DA22292" w:rsidR="003C268C" w:rsidRPr="0046220B" w:rsidRDefault="003C268C" w:rsidP="003C268C">
      <w:pPr>
        <w:spacing w:line="276" w:lineRule="auto"/>
        <w:jc w:val="both"/>
        <w:rPr>
          <w:rFonts w:cstheme="minorHAnsi"/>
          <w:color w:val="000000" w:themeColor="text1"/>
        </w:rPr>
      </w:pPr>
      <w:r w:rsidRPr="00D4583F">
        <w:rPr>
          <w:rFonts w:cstheme="minorHAnsi"/>
          <w:color w:val="000000" w:themeColor="text1"/>
        </w:rPr>
        <w:t>Dangeleit, Elke</w:t>
      </w:r>
      <w:r w:rsidR="00D4583F">
        <w:rPr>
          <w:rFonts w:cstheme="minorHAnsi"/>
          <w:color w:val="000000" w:themeColor="text1"/>
        </w:rPr>
        <w:t xml:space="preserve">. </w:t>
      </w:r>
      <w:r w:rsidRPr="00D4583F">
        <w:rPr>
          <w:rFonts w:cstheme="minorHAnsi"/>
          <w:color w:val="000000" w:themeColor="text1"/>
        </w:rPr>
        <w:t>2023</w:t>
      </w:r>
      <w:r w:rsidR="00D4583F">
        <w:rPr>
          <w:rFonts w:cstheme="minorHAnsi"/>
          <w:color w:val="000000" w:themeColor="text1"/>
        </w:rPr>
        <w:t>.</w:t>
      </w:r>
      <w:r w:rsidRPr="00D4583F">
        <w:rPr>
          <w:rFonts w:cstheme="minorHAnsi"/>
          <w:color w:val="000000" w:themeColor="text1"/>
        </w:rPr>
        <w:t xml:space="preserve"> </w:t>
      </w:r>
      <w:r w:rsidR="00D4583F">
        <w:rPr>
          <w:rFonts w:cstheme="minorHAnsi"/>
          <w:color w:val="000000" w:themeColor="text1"/>
        </w:rPr>
        <w:t>„</w:t>
      </w:r>
      <w:r w:rsidRPr="00D4583F">
        <w:rPr>
          <w:rFonts w:cstheme="minorHAnsi"/>
          <w:color w:val="000000" w:themeColor="text1"/>
        </w:rPr>
        <w:t>Nachwuchs für den Dschihad: Droht ein Islamischer Staat 2.0? Telepolis</w:t>
      </w:r>
      <w:r w:rsidR="00D4583F">
        <w:rPr>
          <w:rFonts w:cstheme="minorHAnsi"/>
          <w:color w:val="000000" w:themeColor="text1"/>
        </w:rPr>
        <w:t>“</w:t>
      </w:r>
      <w:r w:rsidRPr="00D4583F">
        <w:rPr>
          <w:rFonts w:cstheme="minorHAnsi"/>
          <w:color w:val="000000" w:themeColor="text1"/>
        </w:rPr>
        <w:t xml:space="preserve">. URL: </w:t>
      </w:r>
      <w:hyperlink r:id="rId13" w:history="1">
        <w:r w:rsidR="001C5E7F" w:rsidRPr="00687E65">
          <w:rPr>
            <w:rStyle w:val="Hyperlink"/>
            <w:rFonts w:cstheme="minorHAnsi"/>
          </w:rPr>
          <w:t>https://www.telepolis.de/features/Nachwuchs-fuer-den-Dschihad-Droht-ein-Islamischer-Staat-2-0-9231543.html?seite=all</w:t>
        </w:r>
      </w:hyperlink>
      <w:r w:rsidR="001C5E7F">
        <w:rPr>
          <w:rFonts w:cstheme="minorHAnsi"/>
          <w:color w:val="000000" w:themeColor="text1"/>
        </w:rPr>
        <w:t xml:space="preserve"> </w:t>
      </w:r>
      <w:r w:rsidRPr="00D4583F">
        <w:rPr>
          <w:rFonts w:cstheme="minorHAnsi"/>
          <w:color w:val="000000" w:themeColor="text1"/>
        </w:rPr>
        <w:t>[zuletzt abgerufen am: 28.05.2024].</w:t>
      </w:r>
    </w:p>
    <w:p w14:paraId="36F6916C" w14:textId="5015377F" w:rsidR="003C268C" w:rsidRPr="0046220B" w:rsidRDefault="003C268C" w:rsidP="003C268C">
      <w:pPr>
        <w:spacing w:line="276" w:lineRule="auto"/>
        <w:jc w:val="both"/>
        <w:rPr>
          <w:rFonts w:cstheme="minorHAnsi"/>
          <w:color w:val="000000" w:themeColor="text1"/>
        </w:rPr>
      </w:pPr>
      <w:r w:rsidRPr="0046220B">
        <w:rPr>
          <w:rFonts w:cstheme="minorHAnsi"/>
          <w:color w:val="000000" w:themeColor="text1"/>
        </w:rPr>
        <w:t>Deutscher Bundesta</w:t>
      </w:r>
      <w:r w:rsidR="00D4583F">
        <w:rPr>
          <w:rFonts w:cstheme="minorHAnsi"/>
          <w:color w:val="000000" w:themeColor="text1"/>
        </w:rPr>
        <w:t xml:space="preserve">g. </w:t>
      </w:r>
      <w:r w:rsidRPr="0046220B">
        <w:rPr>
          <w:rFonts w:cstheme="minorHAnsi"/>
          <w:color w:val="000000" w:themeColor="text1"/>
        </w:rPr>
        <w:t>2018</w:t>
      </w:r>
      <w:r w:rsidR="00D4583F">
        <w:rPr>
          <w:rFonts w:cstheme="minorHAnsi"/>
          <w:color w:val="000000" w:themeColor="text1"/>
        </w:rPr>
        <w:t>.</w:t>
      </w:r>
      <w:r w:rsidRPr="0046220B">
        <w:rPr>
          <w:rFonts w:cstheme="minorHAnsi"/>
          <w:color w:val="000000" w:themeColor="text1"/>
        </w:rPr>
        <w:t xml:space="preserve"> </w:t>
      </w:r>
      <w:r w:rsidR="00D4583F">
        <w:rPr>
          <w:rFonts w:cstheme="minorHAnsi"/>
          <w:color w:val="000000" w:themeColor="text1"/>
        </w:rPr>
        <w:t>„</w:t>
      </w:r>
      <w:r w:rsidRPr="0046220B">
        <w:rPr>
          <w:rFonts w:cstheme="minorHAnsi"/>
          <w:color w:val="000000" w:themeColor="text1"/>
        </w:rPr>
        <w:t>Ausbürgerung aus Sicht des Völkerrechts</w:t>
      </w:r>
      <w:r w:rsidR="00D4583F">
        <w:rPr>
          <w:rFonts w:cstheme="minorHAnsi"/>
          <w:color w:val="000000" w:themeColor="text1"/>
        </w:rPr>
        <w:t>“</w:t>
      </w:r>
      <w:r w:rsidRPr="0046220B">
        <w:rPr>
          <w:rFonts w:cstheme="minorHAnsi"/>
          <w:color w:val="000000" w:themeColor="text1"/>
        </w:rPr>
        <w:t xml:space="preserve">. Berlin. URL: </w:t>
      </w:r>
      <w:hyperlink r:id="rId14" w:history="1">
        <w:r w:rsidR="001C5E7F" w:rsidRPr="00687E65">
          <w:rPr>
            <w:rStyle w:val="Hyperlink"/>
            <w:rFonts w:cstheme="minorHAnsi"/>
          </w:rPr>
          <w:t>https://www.bundestag.de/resource/blob/550590/55a7e2d2698ef4aaeb5819ac14506f23/WD-2-138_15-pdf.pdf</w:t>
        </w:r>
      </w:hyperlink>
      <w:r w:rsidR="001C5E7F">
        <w:rPr>
          <w:rFonts w:cstheme="minorHAnsi"/>
          <w:color w:val="000000" w:themeColor="text1"/>
        </w:rPr>
        <w:t xml:space="preserve"> </w:t>
      </w:r>
      <w:r w:rsidRPr="0046220B">
        <w:rPr>
          <w:rFonts w:cstheme="minorHAnsi"/>
          <w:color w:val="000000" w:themeColor="text1"/>
        </w:rPr>
        <w:t>[zuletzt abgerufen am: 28.05.2024].</w:t>
      </w:r>
    </w:p>
    <w:p w14:paraId="1031D34B" w14:textId="42C107E4" w:rsidR="003C268C" w:rsidRPr="0046220B" w:rsidRDefault="003C268C" w:rsidP="003C268C">
      <w:pPr>
        <w:spacing w:line="276" w:lineRule="auto"/>
        <w:jc w:val="both"/>
        <w:rPr>
          <w:rFonts w:cstheme="minorHAnsi"/>
          <w:color w:val="000000" w:themeColor="text1"/>
        </w:rPr>
      </w:pPr>
      <w:r w:rsidRPr="0046220B">
        <w:rPr>
          <w:rFonts w:cstheme="minorHAnsi"/>
          <w:color w:val="000000" w:themeColor="text1"/>
        </w:rPr>
        <w:t>Deutscher Bundestag</w:t>
      </w:r>
      <w:r w:rsidR="00D4583F">
        <w:rPr>
          <w:rFonts w:cstheme="minorHAnsi"/>
          <w:color w:val="000000" w:themeColor="text1"/>
        </w:rPr>
        <w:t xml:space="preserve">. </w:t>
      </w:r>
      <w:r w:rsidRPr="0046220B">
        <w:rPr>
          <w:rFonts w:cstheme="minorHAnsi"/>
          <w:color w:val="000000" w:themeColor="text1"/>
        </w:rPr>
        <w:t>2020</w:t>
      </w:r>
      <w:r w:rsidR="00D4583F">
        <w:rPr>
          <w:rFonts w:cstheme="minorHAnsi"/>
          <w:color w:val="000000" w:themeColor="text1"/>
        </w:rPr>
        <w:t>.</w:t>
      </w:r>
      <w:r w:rsidRPr="0046220B">
        <w:rPr>
          <w:rFonts w:cstheme="minorHAnsi"/>
          <w:color w:val="000000" w:themeColor="text1"/>
        </w:rPr>
        <w:t xml:space="preserve"> </w:t>
      </w:r>
      <w:r w:rsidR="00D4583F">
        <w:rPr>
          <w:rFonts w:cstheme="minorHAnsi"/>
          <w:color w:val="000000" w:themeColor="text1"/>
        </w:rPr>
        <w:t>„</w:t>
      </w:r>
      <w:r w:rsidRPr="0046220B">
        <w:rPr>
          <w:rFonts w:cstheme="minorHAnsi"/>
          <w:color w:val="000000" w:themeColor="text1"/>
        </w:rPr>
        <w:t>Fragen zur Ausbürgerung in ausgewählten Staaten</w:t>
      </w:r>
      <w:r w:rsidR="00D4583F">
        <w:rPr>
          <w:rFonts w:cstheme="minorHAnsi"/>
          <w:color w:val="000000" w:themeColor="text1"/>
        </w:rPr>
        <w:t>“</w:t>
      </w:r>
      <w:r w:rsidRPr="0046220B">
        <w:rPr>
          <w:rFonts w:cstheme="minorHAnsi"/>
          <w:color w:val="000000" w:themeColor="text1"/>
        </w:rPr>
        <w:t xml:space="preserve">. URL: </w:t>
      </w:r>
      <w:hyperlink r:id="rId15" w:history="1">
        <w:r w:rsidR="00AC50F5" w:rsidRPr="00687E65">
          <w:rPr>
            <w:rStyle w:val="Hyperlink"/>
            <w:rFonts w:cstheme="minorHAnsi"/>
          </w:rPr>
          <w:t>https://www.bundestag.de/resource/blob/691444/eb7d5e4c4955417c9df764f0c897ddc8/WD-3-290-19-pdf.pdf</w:t>
        </w:r>
      </w:hyperlink>
      <w:r w:rsidR="00AC50F5">
        <w:rPr>
          <w:rFonts w:cstheme="minorHAnsi"/>
          <w:color w:val="000000" w:themeColor="text1"/>
        </w:rPr>
        <w:t xml:space="preserve"> </w:t>
      </w:r>
      <w:r w:rsidRPr="0046220B">
        <w:rPr>
          <w:rFonts w:cstheme="minorHAnsi"/>
          <w:color w:val="000000" w:themeColor="text1"/>
        </w:rPr>
        <w:t>[zuletzt abgerufen am: 28.05.2024].</w:t>
      </w:r>
    </w:p>
    <w:p w14:paraId="6BFED5C9" w14:textId="1B21DE12" w:rsidR="003C268C" w:rsidRPr="0046220B" w:rsidRDefault="003C268C" w:rsidP="003C268C">
      <w:pPr>
        <w:spacing w:line="276" w:lineRule="auto"/>
        <w:jc w:val="both"/>
        <w:rPr>
          <w:rFonts w:cstheme="minorHAnsi"/>
          <w:color w:val="000000" w:themeColor="text1"/>
        </w:rPr>
      </w:pPr>
      <w:r w:rsidRPr="0046220B">
        <w:rPr>
          <w:rFonts w:cstheme="minorHAnsi"/>
          <w:color w:val="000000" w:themeColor="text1"/>
        </w:rPr>
        <w:t>Deutscher Bundestag</w:t>
      </w:r>
      <w:r w:rsidR="00D4583F">
        <w:rPr>
          <w:rFonts w:cstheme="minorHAnsi"/>
          <w:color w:val="000000" w:themeColor="text1"/>
        </w:rPr>
        <w:t xml:space="preserve">. </w:t>
      </w:r>
      <w:r w:rsidRPr="0046220B">
        <w:rPr>
          <w:rFonts w:cstheme="minorHAnsi"/>
          <w:color w:val="000000" w:themeColor="text1"/>
        </w:rPr>
        <w:t>2024</w:t>
      </w:r>
      <w:r w:rsidR="00D4583F">
        <w:rPr>
          <w:rFonts w:cstheme="minorHAnsi"/>
          <w:color w:val="000000" w:themeColor="text1"/>
        </w:rPr>
        <w:t>.</w:t>
      </w:r>
      <w:r w:rsidRPr="0046220B">
        <w:rPr>
          <w:rFonts w:cstheme="minorHAnsi"/>
          <w:color w:val="000000" w:themeColor="text1"/>
        </w:rPr>
        <w:t xml:space="preserve"> </w:t>
      </w:r>
      <w:r w:rsidR="00D4583F">
        <w:rPr>
          <w:rFonts w:cstheme="minorHAnsi"/>
          <w:color w:val="000000" w:themeColor="text1"/>
        </w:rPr>
        <w:t>„</w:t>
      </w:r>
      <w:r w:rsidRPr="0046220B">
        <w:rPr>
          <w:rFonts w:cstheme="minorHAnsi"/>
          <w:color w:val="000000" w:themeColor="text1"/>
        </w:rPr>
        <w:t>Antwort der Bundesregierung auf die Kleine Anfrage des Abgeordneten Stephan Brandner und der Fraktion der AfD</w:t>
      </w:r>
      <w:r w:rsidR="00D4583F">
        <w:rPr>
          <w:rFonts w:cstheme="minorHAnsi"/>
          <w:color w:val="000000" w:themeColor="text1"/>
        </w:rPr>
        <w:t>“</w:t>
      </w:r>
      <w:r w:rsidRPr="0046220B">
        <w:rPr>
          <w:rFonts w:cstheme="minorHAnsi"/>
          <w:color w:val="000000" w:themeColor="text1"/>
        </w:rPr>
        <w:t xml:space="preserve">. Drucksache 20/11085. URL: </w:t>
      </w:r>
      <w:hyperlink r:id="rId16" w:history="1">
        <w:r w:rsidR="00AC50F5" w:rsidRPr="00687E65">
          <w:rPr>
            <w:rStyle w:val="Hyperlink"/>
            <w:rFonts w:cstheme="minorHAnsi"/>
          </w:rPr>
          <w:t>https://dserver.bundestag.de/btd/20/110/2011085.pdf</w:t>
        </w:r>
      </w:hyperlink>
      <w:r w:rsidR="00AC50F5">
        <w:rPr>
          <w:rFonts w:cstheme="minorHAnsi"/>
          <w:color w:val="000000" w:themeColor="text1"/>
        </w:rPr>
        <w:t xml:space="preserve"> </w:t>
      </w:r>
      <w:r w:rsidRPr="0046220B">
        <w:rPr>
          <w:rFonts w:cstheme="minorHAnsi"/>
          <w:color w:val="000000" w:themeColor="text1"/>
        </w:rPr>
        <w:t>[zuletzt abgerufen am: 27.06.2024].</w:t>
      </w:r>
    </w:p>
    <w:p w14:paraId="35183146" w14:textId="2B97037D" w:rsidR="003C268C" w:rsidRPr="0046220B" w:rsidRDefault="003C268C" w:rsidP="003C268C">
      <w:pPr>
        <w:spacing w:line="276" w:lineRule="auto"/>
        <w:jc w:val="both"/>
        <w:rPr>
          <w:rFonts w:cstheme="minorHAnsi"/>
          <w:color w:val="000000" w:themeColor="text1"/>
        </w:rPr>
      </w:pPr>
      <w:r w:rsidRPr="0046220B">
        <w:rPr>
          <w:rFonts w:cstheme="minorHAnsi"/>
          <w:color w:val="000000" w:themeColor="text1"/>
        </w:rPr>
        <w:t>Eidgenössisches Departement für auswärtige Angelegenheiten (EDA)</w:t>
      </w:r>
      <w:r w:rsidR="00D4583F">
        <w:rPr>
          <w:rFonts w:cstheme="minorHAnsi"/>
          <w:color w:val="000000" w:themeColor="text1"/>
        </w:rPr>
        <w:t>.</w:t>
      </w:r>
      <w:r w:rsidRPr="0046220B">
        <w:rPr>
          <w:rFonts w:cstheme="minorHAnsi"/>
          <w:color w:val="000000" w:themeColor="text1"/>
        </w:rPr>
        <w:t xml:space="preserve"> o.</w:t>
      </w:r>
      <w:r w:rsidR="00B421F8">
        <w:rPr>
          <w:rFonts w:cstheme="minorHAnsi"/>
          <w:color w:val="000000" w:themeColor="text1"/>
        </w:rPr>
        <w:t xml:space="preserve"> </w:t>
      </w:r>
      <w:r w:rsidRPr="0046220B">
        <w:rPr>
          <w:rFonts w:cstheme="minorHAnsi"/>
          <w:color w:val="000000" w:themeColor="text1"/>
        </w:rPr>
        <w:t xml:space="preserve">J. </w:t>
      </w:r>
      <w:r w:rsidR="00D4583F">
        <w:rPr>
          <w:rFonts w:cstheme="minorHAnsi"/>
          <w:color w:val="000000" w:themeColor="text1"/>
        </w:rPr>
        <w:t>„</w:t>
      </w:r>
      <w:r w:rsidRPr="0046220B">
        <w:rPr>
          <w:rFonts w:cstheme="minorHAnsi"/>
          <w:color w:val="000000" w:themeColor="text1"/>
        </w:rPr>
        <w:t>Terrorismusbekämpfung</w:t>
      </w:r>
      <w:r w:rsidR="00D4583F">
        <w:rPr>
          <w:rFonts w:cstheme="minorHAnsi"/>
          <w:color w:val="000000" w:themeColor="text1"/>
        </w:rPr>
        <w:t>“</w:t>
      </w:r>
      <w:r w:rsidRPr="0046220B">
        <w:rPr>
          <w:rFonts w:cstheme="minorHAnsi"/>
          <w:color w:val="000000" w:themeColor="text1"/>
        </w:rPr>
        <w:t xml:space="preserve">. URL: </w:t>
      </w:r>
      <w:hyperlink r:id="rId17" w:history="1">
        <w:r w:rsidR="00AC50F5" w:rsidRPr="00687E65">
          <w:rPr>
            <w:rStyle w:val="Hyperlink"/>
            <w:rFonts w:cstheme="minorHAnsi"/>
          </w:rPr>
          <w:t>https://www.eda.admin.ch/eda/de/home/aussenpolitik/sicherheitspolitik/neue-sicherheitspolitischeherausforderungen/terrorismusbekaempfung.html</w:t>
        </w:r>
      </w:hyperlink>
      <w:r w:rsidR="00AC50F5">
        <w:rPr>
          <w:rFonts w:cstheme="minorHAnsi"/>
          <w:color w:val="000000" w:themeColor="text1"/>
        </w:rPr>
        <w:t xml:space="preserve"> </w:t>
      </w:r>
      <w:r w:rsidRPr="0046220B">
        <w:rPr>
          <w:rFonts w:cstheme="minorHAnsi"/>
          <w:color w:val="000000" w:themeColor="text1"/>
        </w:rPr>
        <w:t>[zuletzt abgerufen am: 23.06.2024].</w:t>
      </w:r>
    </w:p>
    <w:p w14:paraId="4113873F" w14:textId="77777777" w:rsidR="00967680" w:rsidRPr="0046220B" w:rsidRDefault="00967680" w:rsidP="00967680">
      <w:pPr>
        <w:spacing w:line="276" w:lineRule="auto"/>
        <w:jc w:val="both"/>
        <w:rPr>
          <w:rFonts w:cstheme="minorHAnsi"/>
          <w:color w:val="000000" w:themeColor="text1"/>
        </w:rPr>
      </w:pPr>
      <w:r w:rsidRPr="0046220B">
        <w:rPr>
          <w:rFonts w:cstheme="minorHAnsi"/>
          <w:color w:val="000000" w:themeColor="text1"/>
        </w:rPr>
        <w:t>Fabris, Verena</w:t>
      </w:r>
      <w:r>
        <w:rPr>
          <w:rFonts w:cstheme="minorHAnsi"/>
          <w:color w:val="000000" w:themeColor="text1"/>
        </w:rPr>
        <w:t xml:space="preserve">. </w:t>
      </w:r>
      <w:r w:rsidRPr="0046220B">
        <w:rPr>
          <w:rFonts w:cstheme="minorHAnsi"/>
          <w:color w:val="000000" w:themeColor="text1"/>
        </w:rPr>
        <w:t>2019</w:t>
      </w:r>
      <w:r>
        <w:rPr>
          <w:rFonts w:cstheme="minorHAnsi"/>
          <w:color w:val="000000" w:themeColor="text1"/>
        </w:rPr>
        <w:t>.</w:t>
      </w:r>
      <w:r w:rsidRPr="0046220B">
        <w:rPr>
          <w:rFonts w:cstheme="minorHAnsi"/>
          <w:color w:val="000000" w:themeColor="text1"/>
        </w:rPr>
        <w:t xml:space="preserve"> </w:t>
      </w:r>
      <w:r>
        <w:rPr>
          <w:rFonts w:cstheme="minorHAnsi"/>
          <w:color w:val="000000" w:themeColor="text1"/>
        </w:rPr>
        <w:t>„</w:t>
      </w:r>
      <w:r w:rsidRPr="0046220B">
        <w:rPr>
          <w:rFonts w:cstheme="minorHAnsi"/>
          <w:color w:val="000000" w:themeColor="text1"/>
        </w:rPr>
        <w:t>Extremismus, Radikalisierung, Prävention - Extremismusprävention in Österreich, R</w:t>
      </w:r>
      <w:r>
        <w:rPr>
          <w:rFonts w:cstheme="minorHAnsi"/>
          <w:color w:val="000000" w:themeColor="text1"/>
        </w:rPr>
        <w:t>a</w:t>
      </w:r>
      <w:r w:rsidRPr="0046220B">
        <w:rPr>
          <w:rFonts w:cstheme="minorHAnsi"/>
          <w:color w:val="000000" w:themeColor="text1"/>
        </w:rPr>
        <w:t>dikalisierungsprozesse bei Jugendlichen und die Arbeit der Beratungsstelle Extremismus</w:t>
      </w:r>
      <w:r>
        <w:rPr>
          <w:rFonts w:cstheme="minorHAnsi"/>
          <w:color w:val="000000" w:themeColor="text1"/>
        </w:rPr>
        <w:t>“</w:t>
      </w:r>
      <w:r w:rsidRPr="0046220B">
        <w:rPr>
          <w:rFonts w:cstheme="minorHAnsi"/>
          <w:color w:val="000000" w:themeColor="text1"/>
        </w:rPr>
        <w:t xml:space="preserve">. In: Schwarzenegger, Christian; Brunner, Reinhard. Bedrohungsmanagement: </w:t>
      </w:r>
      <w:r w:rsidRPr="0046220B">
        <w:rPr>
          <w:rFonts w:cstheme="minorHAnsi"/>
          <w:color w:val="000000" w:themeColor="text1"/>
        </w:rPr>
        <w:lastRenderedPageBreak/>
        <w:t>Radikalisierung und gewalttätiger Extremismus / Nationaler Aktionsplan. Zürich: Schulthess Verlag, 63-86.</w:t>
      </w:r>
    </w:p>
    <w:p w14:paraId="043721C9" w14:textId="4E03B0AA" w:rsidR="003C268C" w:rsidRPr="0046220B" w:rsidRDefault="003C268C" w:rsidP="003C268C">
      <w:pPr>
        <w:spacing w:line="276" w:lineRule="auto"/>
        <w:jc w:val="both"/>
        <w:rPr>
          <w:rFonts w:cstheme="minorHAnsi"/>
          <w:color w:val="000000" w:themeColor="text1"/>
        </w:rPr>
      </w:pPr>
      <w:r w:rsidRPr="0046220B">
        <w:rPr>
          <w:rFonts w:cstheme="minorHAnsi"/>
          <w:color w:val="000000" w:themeColor="text1"/>
        </w:rPr>
        <w:t>Figlestahler, Carmen</w:t>
      </w:r>
      <w:r w:rsidR="0005019A">
        <w:rPr>
          <w:rFonts w:cstheme="minorHAnsi"/>
          <w:color w:val="000000" w:themeColor="text1"/>
        </w:rPr>
        <w:t>;</w:t>
      </w:r>
      <w:r w:rsidR="001F469F">
        <w:rPr>
          <w:rFonts w:cstheme="minorHAnsi"/>
          <w:color w:val="000000" w:themeColor="text1"/>
        </w:rPr>
        <w:t xml:space="preserve"> </w:t>
      </w:r>
      <w:r w:rsidRPr="0046220B">
        <w:rPr>
          <w:rFonts w:cstheme="minorHAnsi"/>
          <w:color w:val="000000" w:themeColor="text1"/>
        </w:rPr>
        <w:t>Schau, Katja</w:t>
      </w:r>
      <w:r w:rsidR="00D4583F">
        <w:rPr>
          <w:rFonts w:cstheme="minorHAnsi"/>
          <w:color w:val="000000" w:themeColor="text1"/>
        </w:rPr>
        <w:t xml:space="preserve">. </w:t>
      </w:r>
      <w:r w:rsidRPr="0046220B">
        <w:rPr>
          <w:rFonts w:cstheme="minorHAnsi"/>
          <w:color w:val="000000" w:themeColor="text1"/>
        </w:rPr>
        <w:t>2019</w:t>
      </w:r>
      <w:r w:rsidR="00D4583F">
        <w:rPr>
          <w:rFonts w:cstheme="minorHAnsi"/>
          <w:color w:val="000000" w:themeColor="text1"/>
        </w:rPr>
        <w:t>.</w:t>
      </w:r>
      <w:r w:rsidRPr="0046220B">
        <w:rPr>
          <w:rFonts w:cstheme="minorHAnsi"/>
          <w:color w:val="000000" w:themeColor="text1"/>
        </w:rPr>
        <w:t xml:space="preserve"> „Das ist ja noch keine Gefahrenlage, aber dennoch“ – Pädagogische Islamismusprävention im Spannungsfeld von Dramatisierung und Relativierung. In: Dörte Negnal (Hrsg.), Die Problematisierung sozialer Gruppen in Staat und Gesellschaft</w:t>
      </w:r>
      <w:r w:rsidR="008A5538">
        <w:rPr>
          <w:rFonts w:cstheme="minorHAnsi"/>
          <w:color w:val="000000" w:themeColor="text1"/>
        </w:rPr>
        <w:t>.</w:t>
      </w:r>
      <w:r w:rsidRPr="0046220B">
        <w:rPr>
          <w:rFonts w:cstheme="minorHAnsi"/>
          <w:color w:val="000000" w:themeColor="text1"/>
        </w:rPr>
        <w:t xml:space="preserve"> Wiesbaden: Springer VS. S. 127–143.</w:t>
      </w:r>
    </w:p>
    <w:p w14:paraId="33D953D0" w14:textId="00941014" w:rsidR="003C268C" w:rsidRPr="0046220B" w:rsidRDefault="003C268C" w:rsidP="003C268C">
      <w:pPr>
        <w:spacing w:line="276" w:lineRule="auto"/>
        <w:jc w:val="both"/>
        <w:rPr>
          <w:rFonts w:cstheme="minorHAnsi"/>
          <w:color w:val="000000" w:themeColor="text1"/>
        </w:rPr>
      </w:pPr>
      <w:r w:rsidRPr="0046220B">
        <w:rPr>
          <w:rFonts w:cstheme="minorHAnsi"/>
          <w:color w:val="000000" w:themeColor="text1"/>
        </w:rPr>
        <w:t>Figlestahler, Carmen</w:t>
      </w:r>
      <w:r w:rsidR="0005019A">
        <w:rPr>
          <w:rFonts w:cstheme="minorHAnsi"/>
          <w:color w:val="000000" w:themeColor="text1"/>
        </w:rPr>
        <w:t>;</w:t>
      </w:r>
      <w:r w:rsidRPr="0046220B">
        <w:rPr>
          <w:rFonts w:cstheme="minorHAnsi"/>
          <w:color w:val="000000" w:themeColor="text1"/>
        </w:rPr>
        <w:t xml:space="preserve"> Schau, Katja</w:t>
      </w:r>
      <w:r w:rsidR="00D4583F">
        <w:rPr>
          <w:rFonts w:cstheme="minorHAnsi"/>
          <w:color w:val="000000" w:themeColor="text1"/>
        </w:rPr>
        <w:t xml:space="preserve">. </w:t>
      </w:r>
      <w:r w:rsidRPr="0046220B">
        <w:rPr>
          <w:rFonts w:cstheme="minorHAnsi"/>
          <w:color w:val="000000" w:themeColor="text1"/>
        </w:rPr>
        <w:t>2022</w:t>
      </w:r>
      <w:r w:rsidR="00D4583F">
        <w:rPr>
          <w:rFonts w:cstheme="minorHAnsi"/>
          <w:color w:val="000000" w:themeColor="text1"/>
        </w:rPr>
        <w:t>.</w:t>
      </w:r>
      <w:r w:rsidRPr="0046220B">
        <w:rPr>
          <w:rFonts w:cstheme="minorHAnsi"/>
          <w:color w:val="000000" w:themeColor="text1"/>
        </w:rPr>
        <w:t xml:space="preserve"> </w:t>
      </w:r>
      <w:r w:rsidR="00D4583F">
        <w:rPr>
          <w:rFonts w:cstheme="minorHAnsi"/>
          <w:color w:val="000000" w:themeColor="text1"/>
        </w:rPr>
        <w:t>„</w:t>
      </w:r>
      <w:r w:rsidRPr="0046220B">
        <w:rPr>
          <w:rFonts w:cstheme="minorHAnsi"/>
          <w:color w:val="000000" w:themeColor="text1"/>
        </w:rPr>
        <w:t>Prävention und Sicherheit. Ein (Rück-)Blick auf die Präventions- und Distanzierungslandschaft in Deutschland</w:t>
      </w:r>
      <w:r w:rsidR="00D4583F">
        <w:rPr>
          <w:rFonts w:cstheme="minorHAnsi"/>
          <w:color w:val="000000" w:themeColor="text1"/>
        </w:rPr>
        <w:t>“</w:t>
      </w:r>
      <w:r w:rsidRPr="0046220B">
        <w:rPr>
          <w:rFonts w:cstheme="minorHAnsi"/>
          <w:color w:val="000000" w:themeColor="text1"/>
        </w:rPr>
        <w:t xml:space="preserve">. In: Bundesarbeitsgemeinschaft religiös begründeter Extremismus e. V. Zur Sicherheit: Prävention? Ligante, Fachdebatten aus der Präventionsarbeit. Ausgabe #4. </w:t>
      </w:r>
    </w:p>
    <w:p w14:paraId="1420C6DD" w14:textId="6FD2E259" w:rsidR="003C268C" w:rsidRPr="0046220B" w:rsidRDefault="003C268C" w:rsidP="003C268C">
      <w:pPr>
        <w:spacing w:line="276" w:lineRule="auto"/>
        <w:jc w:val="both"/>
        <w:rPr>
          <w:rFonts w:cstheme="minorHAnsi"/>
          <w:color w:val="000000" w:themeColor="text1"/>
        </w:rPr>
      </w:pPr>
      <w:r w:rsidRPr="0046220B">
        <w:rPr>
          <w:rFonts w:cstheme="minorHAnsi"/>
          <w:color w:val="000000" w:themeColor="text1"/>
        </w:rPr>
        <w:t>Fritzsche, Daniel</w:t>
      </w:r>
      <w:r w:rsidR="0005019A">
        <w:rPr>
          <w:rFonts w:cstheme="minorHAnsi"/>
          <w:color w:val="000000" w:themeColor="text1"/>
        </w:rPr>
        <w:t xml:space="preserve">; </w:t>
      </w:r>
      <w:r w:rsidRPr="0046220B">
        <w:rPr>
          <w:rFonts w:cstheme="minorHAnsi"/>
          <w:color w:val="000000" w:themeColor="text1"/>
        </w:rPr>
        <w:t>Heusser, Isabel</w:t>
      </w:r>
      <w:r w:rsidR="0005019A">
        <w:rPr>
          <w:rFonts w:cstheme="minorHAnsi"/>
          <w:color w:val="000000" w:themeColor="text1"/>
        </w:rPr>
        <w:t>;</w:t>
      </w:r>
      <w:r w:rsidRPr="0046220B">
        <w:rPr>
          <w:rFonts w:cstheme="minorHAnsi"/>
          <w:color w:val="000000" w:themeColor="text1"/>
        </w:rPr>
        <w:t xml:space="preserve"> von Ledebur, Michael</w:t>
      </w:r>
      <w:r w:rsidR="00D4583F">
        <w:rPr>
          <w:rFonts w:cstheme="minorHAnsi"/>
          <w:color w:val="000000" w:themeColor="text1"/>
        </w:rPr>
        <w:t xml:space="preserve">. </w:t>
      </w:r>
      <w:r w:rsidRPr="0046220B">
        <w:rPr>
          <w:rFonts w:cstheme="minorHAnsi"/>
          <w:color w:val="000000" w:themeColor="text1"/>
        </w:rPr>
        <w:t>2024</w:t>
      </w:r>
      <w:r w:rsidR="00D4583F">
        <w:rPr>
          <w:rFonts w:cstheme="minorHAnsi"/>
          <w:color w:val="000000" w:themeColor="text1"/>
        </w:rPr>
        <w:t>.</w:t>
      </w:r>
      <w:r w:rsidRPr="0046220B">
        <w:rPr>
          <w:rFonts w:cstheme="minorHAnsi"/>
          <w:color w:val="000000" w:themeColor="text1"/>
        </w:rPr>
        <w:t xml:space="preserve"> </w:t>
      </w:r>
      <w:r w:rsidR="00D4583F">
        <w:rPr>
          <w:rFonts w:cstheme="minorHAnsi"/>
          <w:color w:val="000000" w:themeColor="text1"/>
        </w:rPr>
        <w:t>„</w:t>
      </w:r>
      <w:r w:rsidRPr="0046220B">
        <w:rPr>
          <w:rFonts w:cstheme="minorHAnsi"/>
          <w:color w:val="000000" w:themeColor="text1"/>
        </w:rPr>
        <w:t>Nach der Attacke auf einen orthodoxen Juden: Dem Täter solle das Schweizer Bürgerrecht entzogen werden, fordert Regierungsrat Mario Fehr</w:t>
      </w:r>
      <w:r w:rsidR="00D4583F">
        <w:rPr>
          <w:rFonts w:cstheme="minorHAnsi"/>
          <w:color w:val="000000" w:themeColor="text1"/>
        </w:rPr>
        <w:t>“.</w:t>
      </w:r>
      <w:r w:rsidRPr="0046220B">
        <w:rPr>
          <w:rFonts w:cstheme="minorHAnsi"/>
          <w:color w:val="000000" w:themeColor="text1"/>
        </w:rPr>
        <w:t xml:space="preserve"> </w:t>
      </w:r>
      <w:r w:rsidR="00D4583F">
        <w:rPr>
          <w:rFonts w:cstheme="minorHAnsi"/>
          <w:color w:val="000000" w:themeColor="text1"/>
        </w:rPr>
        <w:t>I</w:t>
      </w:r>
      <w:r w:rsidRPr="0046220B">
        <w:rPr>
          <w:rFonts w:cstheme="minorHAnsi"/>
          <w:color w:val="000000" w:themeColor="text1"/>
        </w:rPr>
        <w:t xml:space="preserve">n: Neue Zürcher Zeitung vom 5. März 2024. URL: </w:t>
      </w:r>
      <w:hyperlink r:id="rId18" w:history="1">
        <w:r w:rsidR="00850774" w:rsidRPr="00687E65">
          <w:rPr>
            <w:rStyle w:val="Hyperlink"/>
            <w:rFonts w:cstheme="minorHAnsi"/>
          </w:rPr>
          <w:t>https://www.nzz.ch/zuerich/attacke-auf-juden-in-zuerich-mario-fehr-fordert-entzug-des-buergerrechts-ld.1820749</w:t>
        </w:r>
      </w:hyperlink>
      <w:r w:rsidR="00850774">
        <w:rPr>
          <w:rFonts w:cstheme="minorHAnsi"/>
          <w:color w:val="000000" w:themeColor="text1"/>
        </w:rPr>
        <w:t xml:space="preserve"> </w:t>
      </w:r>
      <w:r w:rsidRPr="0046220B">
        <w:rPr>
          <w:rFonts w:cstheme="minorHAnsi"/>
          <w:color w:val="000000" w:themeColor="text1"/>
        </w:rPr>
        <w:t>[zuletzt abgerufen am: 23.06.2024].</w:t>
      </w:r>
    </w:p>
    <w:p w14:paraId="05AF601F" w14:textId="28C1BF02" w:rsidR="003C268C" w:rsidRPr="0046220B" w:rsidRDefault="003C268C" w:rsidP="003C268C">
      <w:pPr>
        <w:spacing w:line="276" w:lineRule="auto"/>
        <w:jc w:val="both"/>
        <w:rPr>
          <w:rFonts w:cstheme="minorHAnsi"/>
          <w:color w:val="000000" w:themeColor="text1"/>
        </w:rPr>
      </w:pPr>
      <w:r w:rsidRPr="0046220B">
        <w:rPr>
          <w:rFonts w:cstheme="minorHAnsi"/>
          <w:color w:val="000000" w:themeColor="text1"/>
        </w:rPr>
        <w:t>Glaus, Daniel</w:t>
      </w:r>
      <w:r w:rsidR="0005019A">
        <w:rPr>
          <w:rFonts w:cstheme="minorHAnsi"/>
          <w:color w:val="000000" w:themeColor="text1"/>
        </w:rPr>
        <w:t>;</w:t>
      </w:r>
      <w:r w:rsidRPr="0046220B">
        <w:rPr>
          <w:rFonts w:cstheme="minorHAnsi"/>
          <w:color w:val="000000" w:themeColor="text1"/>
        </w:rPr>
        <w:t xml:space="preserve"> Reinhard, Myriam</w:t>
      </w:r>
      <w:r w:rsidR="00D4583F">
        <w:rPr>
          <w:rFonts w:cstheme="minorHAnsi"/>
          <w:color w:val="000000" w:themeColor="text1"/>
        </w:rPr>
        <w:t xml:space="preserve">. </w:t>
      </w:r>
      <w:r w:rsidRPr="0046220B">
        <w:rPr>
          <w:rFonts w:cstheme="minorHAnsi"/>
          <w:color w:val="000000" w:themeColor="text1"/>
        </w:rPr>
        <w:t>2021</w:t>
      </w:r>
      <w:r w:rsidR="00D4583F">
        <w:rPr>
          <w:rFonts w:cstheme="minorHAnsi"/>
          <w:color w:val="000000" w:themeColor="text1"/>
        </w:rPr>
        <w:t>.</w:t>
      </w:r>
      <w:r w:rsidRPr="0046220B">
        <w:rPr>
          <w:rFonts w:cstheme="minorHAnsi"/>
          <w:color w:val="000000" w:themeColor="text1"/>
        </w:rPr>
        <w:t xml:space="preserve"> </w:t>
      </w:r>
      <w:r w:rsidR="00D4583F">
        <w:rPr>
          <w:rFonts w:cstheme="minorHAnsi"/>
          <w:color w:val="000000" w:themeColor="text1"/>
        </w:rPr>
        <w:t>„</w:t>
      </w:r>
      <w:r w:rsidRPr="0046220B">
        <w:rPr>
          <w:rFonts w:cstheme="minorHAnsi"/>
          <w:color w:val="000000" w:themeColor="text1"/>
        </w:rPr>
        <w:t>Bund will «Emir» aus Waadtland den Schweizer Pass entziehen</w:t>
      </w:r>
      <w:r w:rsidR="00D4583F">
        <w:rPr>
          <w:rFonts w:cstheme="minorHAnsi"/>
          <w:color w:val="000000" w:themeColor="text1"/>
        </w:rPr>
        <w:t>“.</w:t>
      </w:r>
      <w:r w:rsidRPr="0046220B">
        <w:rPr>
          <w:rFonts w:cstheme="minorHAnsi"/>
          <w:color w:val="000000" w:themeColor="text1"/>
        </w:rPr>
        <w:t xml:space="preserve"> </w:t>
      </w:r>
      <w:r w:rsidR="00D4583F">
        <w:rPr>
          <w:rFonts w:cstheme="minorHAnsi"/>
          <w:color w:val="000000" w:themeColor="text1"/>
        </w:rPr>
        <w:t>I</w:t>
      </w:r>
      <w:r w:rsidRPr="0046220B">
        <w:rPr>
          <w:rFonts w:cstheme="minorHAnsi"/>
          <w:color w:val="000000" w:themeColor="text1"/>
        </w:rPr>
        <w:t xml:space="preserve">n: Schweizer Radio und Fernsehen (SRF) vom 6. Februar 2021. URL: </w:t>
      </w:r>
      <w:hyperlink r:id="rId19" w:history="1">
        <w:r w:rsidR="00850774" w:rsidRPr="00687E65">
          <w:rPr>
            <w:rStyle w:val="Hyperlink"/>
            <w:rFonts w:cstheme="minorHAnsi"/>
          </w:rPr>
          <w:t>https://www.srf.ch/news/schweiz/verurteilt-in-paris-bund-will-emir-aus-waadtland-den-schweizer-pass-entziehen</w:t>
        </w:r>
      </w:hyperlink>
      <w:r w:rsidR="00850774">
        <w:rPr>
          <w:rFonts w:cstheme="minorHAnsi"/>
          <w:color w:val="000000" w:themeColor="text1"/>
        </w:rPr>
        <w:t xml:space="preserve"> </w:t>
      </w:r>
      <w:r w:rsidRPr="0046220B">
        <w:rPr>
          <w:rFonts w:cstheme="minorHAnsi"/>
          <w:color w:val="000000" w:themeColor="text1"/>
        </w:rPr>
        <w:t>[zuletzt abgerufen am: 23.06.2024].</w:t>
      </w:r>
    </w:p>
    <w:p w14:paraId="15B94995" w14:textId="00FF9ADA" w:rsidR="003C268C" w:rsidRPr="0046220B" w:rsidRDefault="003C268C" w:rsidP="003C268C">
      <w:pPr>
        <w:spacing w:line="276" w:lineRule="auto"/>
        <w:jc w:val="both"/>
        <w:rPr>
          <w:rFonts w:cstheme="minorHAnsi"/>
          <w:color w:val="000000" w:themeColor="text1"/>
        </w:rPr>
      </w:pPr>
      <w:r w:rsidRPr="0046220B">
        <w:rPr>
          <w:rFonts w:cstheme="minorHAnsi"/>
          <w:color w:val="000000" w:themeColor="text1"/>
        </w:rPr>
        <w:t>Glaus, Daniel</w:t>
      </w:r>
      <w:r w:rsidR="0005019A">
        <w:rPr>
          <w:rFonts w:cstheme="minorHAnsi"/>
          <w:color w:val="000000" w:themeColor="text1"/>
        </w:rPr>
        <w:t xml:space="preserve">; </w:t>
      </w:r>
      <w:r w:rsidRPr="0046220B">
        <w:rPr>
          <w:rFonts w:cstheme="minorHAnsi"/>
          <w:color w:val="000000" w:themeColor="text1"/>
        </w:rPr>
        <w:t>Reinhard, Myriam</w:t>
      </w:r>
      <w:r w:rsidR="0005019A">
        <w:rPr>
          <w:rFonts w:cstheme="minorHAnsi"/>
          <w:color w:val="000000" w:themeColor="text1"/>
        </w:rPr>
        <w:t>;</w:t>
      </w:r>
      <w:r w:rsidRPr="0046220B">
        <w:rPr>
          <w:rFonts w:cstheme="minorHAnsi"/>
          <w:color w:val="000000" w:themeColor="text1"/>
        </w:rPr>
        <w:t xml:space="preserve"> Rierola, Karina</w:t>
      </w:r>
      <w:r w:rsidR="00D4583F">
        <w:rPr>
          <w:rFonts w:cstheme="minorHAnsi"/>
          <w:color w:val="000000" w:themeColor="text1"/>
        </w:rPr>
        <w:t xml:space="preserve">. </w:t>
      </w:r>
      <w:r w:rsidRPr="0046220B">
        <w:rPr>
          <w:rFonts w:cstheme="minorHAnsi"/>
          <w:color w:val="000000" w:themeColor="text1"/>
        </w:rPr>
        <w:t>2020</w:t>
      </w:r>
      <w:r w:rsidR="00D4583F">
        <w:rPr>
          <w:rFonts w:cstheme="minorHAnsi"/>
          <w:color w:val="000000" w:themeColor="text1"/>
        </w:rPr>
        <w:t>.</w:t>
      </w:r>
      <w:r w:rsidRPr="0046220B">
        <w:rPr>
          <w:rFonts w:cstheme="minorHAnsi"/>
          <w:color w:val="000000" w:themeColor="text1"/>
        </w:rPr>
        <w:t xml:space="preserve"> </w:t>
      </w:r>
      <w:r w:rsidR="00D4583F">
        <w:rPr>
          <w:rFonts w:cstheme="minorHAnsi"/>
          <w:color w:val="000000" w:themeColor="text1"/>
        </w:rPr>
        <w:t>„</w:t>
      </w:r>
      <w:r w:rsidRPr="0046220B">
        <w:rPr>
          <w:rFonts w:cstheme="minorHAnsi"/>
          <w:color w:val="000000" w:themeColor="text1"/>
        </w:rPr>
        <w:t>Bei der Ausbürgerung war Spanien schneller als die Schweiz</w:t>
      </w:r>
      <w:r w:rsidR="00D4583F">
        <w:rPr>
          <w:rFonts w:cstheme="minorHAnsi"/>
          <w:color w:val="000000" w:themeColor="text1"/>
        </w:rPr>
        <w:t>“. I</w:t>
      </w:r>
      <w:r w:rsidRPr="0046220B">
        <w:rPr>
          <w:rFonts w:cstheme="minorHAnsi"/>
          <w:color w:val="000000" w:themeColor="text1"/>
        </w:rPr>
        <w:t xml:space="preserve">n: Schweizer Radio und Fernsehen (SRF) vom 24. April 2020. URL: </w:t>
      </w:r>
      <w:hyperlink r:id="rId20" w:history="1">
        <w:r w:rsidR="00850774" w:rsidRPr="00687E65">
          <w:rPr>
            <w:rStyle w:val="Hyperlink"/>
            <w:rFonts w:cstheme="minorHAnsi"/>
          </w:rPr>
          <w:t>https://www.srf.ch/news/schweiz/is-verdaechtiger-doppelbuerger-bei-der-ausbuergerung-war-spanien-schneller-als-die-schweiz</w:t>
        </w:r>
      </w:hyperlink>
      <w:r w:rsidR="00850774">
        <w:rPr>
          <w:rFonts w:cstheme="minorHAnsi"/>
          <w:color w:val="000000" w:themeColor="text1"/>
        </w:rPr>
        <w:t xml:space="preserve"> </w:t>
      </w:r>
      <w:r w:rsidRPr="0046220B">
        <w:rPr>
          <w:rFonts w:cstheme="minorHAnsi"/>
          <w:color w:val="000000" w:themeColor="text1"/>
        </w:rPr>
        <w:t>[zuletzt abgerufen am: 23.06.2024].</w:t>
      </w:r>
    </w:p>
    <w:p w14:paraId="7CA56CB0" w14:textId="57F83B8E" w:rsidR="003C268C" w:rsidRPr="0046220B" w:rsidRDefault="003C268C" w:rsidP="003C268C">
      <w:pPr>
        <w:spacing w:line="276" w:lineRule="auto"/>
        <w:jc w:val="both"/>
        <w:rPr>
          <w:rFonts w:cstheme="minorHAnsi"/>
          <w:color w:val="000000" w:themeColor="text1"/>
        </w:rPr>
      </w:pPr>
      <w:r w:rsidRPr="0046220B">
        <w:rPr>
          <w:rFonts w:cstheme="minorHAnsi"/>
          <w:color w:val="000000" w:themeColor="text1"/>
        </w:rPr>
        <w:t>Glaser, Michaela</w:t>
      </w:r>
      <w:r w:rsidR="0005019A">
        <w:rPr>
          <w:rFonts w:cstheme="minorHAnsi"/>
          <w:color w:val="000000" w:themeColor="text1"/>
        </w:rPr>
        <w:t>;</w:t>
      </w:r>
      <w:r w:rsidRPr="0046220B">
        <w:rPr>
          <w:rFonts w:cstheme="minorHAnsi"/>
          <w:color w:val="000000" w:themeColor="text1"/>
        </w:rPr>
        <w:t xml:space="preserve"> Müller, Jochen</w:t>
      </w:r>
      <w:r w:rsidR="0005019A">
        <w:rPr>
          <w:rFonts w:cstheme="minorHAnsi"/>
          <w:color w:val="000000" w:themeColor="text1"/>
        </w:rPr>
        <w:t>;</w:t>
      </w:r>
      <w:r w:rsidRPr="0046220B">
        <w:rPr>
          <w:rFonts w:cstheme="minorHAnsi"/>
          <w:color w:val="000000" w:themeColor="text1"/>
        </w:rPr>
        <w:t xml:space="preserve"> Taubert, André</w:t>
      </w:r>
      <w:r w:rsidR="00D4583F">
        <w:rPr>
          <w:rFonts w:cstheme="minorHAnsi"/>
          <w:color w:val="000000" w:themeColor="text1"/>
        </w:rPr>
        <w:t xml:space="preserve">. </w:t>
      </w:r>
      <w:r w:rsidRPr="0046220B">
        <w:rPr>
          <w:rFonts w:cstheme="minorHAnsi"/>
          <w:color w:val="000000" w:themeColor="text1"/>
        </w:rPr>
        <w:t>2020</w:t>
      </w:r>
      <w:r w:rsidR="00D4583F">
        <w:rPr>
          <w:rFonts w:cstheme="minorHAnsi"/>
          <w:color w:val="000000" w:themeColor="text1"/>
        </w:rPr>
        <w:t>.</w:t>
      </w:r>
      <w:r w:rsidRPr="0046220B">
        <w:rPr>
          <w:rFonts w:cstheme="minorHAnsi"/>
          <w:color w:val="000000" w:themeColor="text1"/>
        </w:rPr>
        <w:t xml:space="preserve"> </w:t>
      </w:r>
      <w:r w:rsidR="00D4583F">
        <w:rPr>
          <w:rFonts w:cstheme="minorHAnsi"/>
          <w:color w:val="000000" w:themeColor="text1"/>
        </w:rPr>
        <w:t>„</w:t>
      </w:r>
      <w:r w:rsidRPr="0046220B">
        <w:rPr>
          <w:rFonts w:cstheme="minorHAnsi"/>
          <w:color w:val="000000" w:themeColor="text1"/>
        </w:rPr>
        <w:t>Selektive Extremismusprävention aus pädagogischer Perspektive. Zielgruppen, Handlungsfelder, Akteure und Ansätze</w:t>
      </w:r>
      <w:r w:rsidR="00D4583F">
        <w:rPr>
          <w:rFonts w:cstheme="minorHAnsi"/>
          <w:color w:val="000000" w:themeColor="text1"/>
        </w:rPr>
        <w:t>“</w:t>
      </w:r>
      <w:r w:rsidRPr="0046220B">
        <w:rPr>
          <w:rFonts w:cstheme="minorHAnsi"/>
          <w:color w:val="000000" w:themeColor="text1"/>
        </w:rPr>
        <w:t>. In: Slama, Brahim Ben, Kemmesies Uwe (Hrsg.) Handbuch Extremismusprävention. Gesamtgesellschaftlich. Phänomenübergreifend. Polizei</w:t>
      </w:r>
      <w:r w:rsidR="009E7D23">
        <w:rPr>
          <w:rFonts w:cstheme="minorHAnsi"/>
          <w:color w:val="000000" w:themeColor="text1"/>
        </w:rPr>
        <w:t xml:space="preserve"> </w:t>
      </w:r>
      <w:r w:rsidRPr="0046220B">
        <w:rPr>
          <w:rFonts w:cstheme="minorHAnsi"/>
          <w:color w:val="000000" w:themeColor="text1"/>
        </w:rPr>
        <w:t>+</w:t>
      </w:r>
      <w:r w:rsidR="009E7D23">
        <w:rPr>
          <w:rFonts w:cstheme="minorHAnsi"/>
          <w:color w:val="000000" w:themeColor="text1"/>
        </w:rPr>
        <w:t xml:space="preserve"> </w:t>
      </w:r>
      <w:r w:rsidRPr="0046220B">
        <w:rPr>
          <w:rFonts w:cstheme="minorHAnsi"/>
          <w:color w:val="000000" w:themeColor="text1"/>
        </w:rPr>
        <w:t>Forschung, Band-Nummer 54. Wiesbaden: Bundeskriminalamt. S. 471-504.</w:t>
      </w:r>
    </w:p>
    <w:p w14:paraId="65183BCC" w14:textId="69955B71" w:rsidR="003C268C" w:rsidRPr="0046220B" w:rsidRDefault="003C268C" w:rsidP="003C268C">
      <w:pPr>
        <w:spacing w:line="276" w:lineRule="auto"/>
        <w:jc w:val="both"/>
        <w:rPr>
          <w:rFonts w:cstheme="minorHAnsi"/>
          <w:color w:val="000000" w:themeColor="text1"/>
        </w:rPr>
      </w:pPr>
      <w:r w:rsidRPr="0046220B">
        <w:rPr>
          <w:rFonts w:cstheme="minorHAnsi"/>
          <w:color w:val="000000" w:themeColor="text1"/>
        </w:rPr>
        <w:t>Grabenwarter, Christoph</w:t>
      </w:r>
      <w:r w:rsidR="001E6BBF">
        <w:rPr>
          <w:rFonts w:cstheme="minorHAnsi"/>
          <w:color w:val="000000" w:themeColor="text1"/>
        </w:rPr>
        <w:t>;</w:t>
      </w:r>
      <w:r w:rsidRPr="0046220B">
        <w:rPr>
          <w:rFonts w:cstheme="minorHAnsi"/>
          <w:color w:val="000000" w:themeColor="text1"/>
        </w:rPr>
        <w:t xml:space="preserve"> Pabel, Katharina</w:t>
      </w:r>
      <w:r w:rsidR="00D4583F">
        <w:rPr>
          <w:rFonts w:cstheme="minorHAnsi"/>
          <w:color w:val="000000" w:themeColor="text1"/>
        </w:rPr>
        <w:t xml:space="preserve">. </w:t>
      </w:r>
      <w:r w:rsidRPr="0046220B">
        <w:rPr>
          <w:rFonts w:cstheme="minorHAnsi"/>
          <w:color w:val="000000" w:themeColor="text1"/>
        </w:rPr>
        <w:t>2021</w:t>
      </w:r>
      <w:r w:rsidR="00D4583F">
        <w:rPr>
          <w:rFonts w:cstheme="minorHAnsi"/>
          <w:color w:val="000000" w:themeColor="text1"/>
        </w:rPr>
        <w:t>.</w:t>
      </w:r>
      <w:r w:rsidRPr="0046220B">
        <w:rPr>
          <w:rFonts w:cstheme="minorHAnsi"/>
          <w:color w:val="000000" w:themeColor="text1"/>
        </w:rPr>
        <w:t xml:space="preserve"> </w:t>
      </w:r>
      <w:r w:rsidR="00D4583F">
        <w:rPr>
          <w:rFonts w:cstheme="minorHAnsi"/>
          <w:color w:val="000000" w:themeColor="text1"/>
        </w:rPr>
        <w:t>„</w:t>
      </w:r>
      <w:r w:rsidRPr="0046220B">
        <w:rPr>
          <w:rFonts w:cstheme="minorHAnsi"/>
          <w:color w:val="000000" w:themeColor="text1"/>
        </w:rPr>
        <w:t>Europäische Menschenrechtskonvention</w:t>
      </w:r>
      <w:r w:rsidR="00D4583F">
        <w:rPr>
          <w:rFonts w:cstheme="minorHAnsi"/>
          <w:color w:val="000000" w:themeColor="text1"/>
        </w:rPr>
        <w:t>“</w:t>
      </w:r>
      <w:r w:rsidRPr="0046220B">
        <w:rPr>
          <w:rFonts w:cstheme="minorHAnsi"/>
          <w:color w:val="000000" w:themeColor="text1"/>
        </w:rPr>
        <w:t>. 7. Aufl. Basel: Helbing Lichtenhahn.</w:t>
      </w:r>
    </w:p>
    <w:p w14:paraId="353D64A4" w14:textId="2480D5F3" w:rsidR="003C268C" w:rsidRPr="0046220B" w:rsidRDefault="003C268C" w:rsidP="003C268C">
      <w:pPr>
        <w:spacing w:line="276" w:lineRule="auto"/>
        <w:jc w:val="both"/>
        <w:rPr>
          <w:rFonts w:cstheme="minorHAnsi"/>
          <w:color w:val="000000" w:themeColor="text1"/>
        </w:rPr>
      </w:pPr>
      <w:r w:rsidRPr="0046220B">
        <w:rPr>
          <w:rFonts w:cstheme="minorHAnsi"/>
          <w:color w:val="000000" w:themeColor="text1"/>
        </w:rPr>
        <w:t>Hanimann, Carlos</w:t>
      </w:r>
      <w:r w:rsidR="00D4583F">
        <w:rPr>
          <w:rFonts w:cstheme="minorHAnsi"/>
          <w:color w:val="000000" w:themeColor="text1"/>
        </w:rPr>
        <w:t xml:space="preserve">. </w:t>
      </w:r>
      <w:r w:rsidRPr="0046220B">
        <w:rPr>
          <w:rFonts w:cstheme="minorHAnsi"/>
          <w:color w:val="000000" w:themeColor="text1"/>
        </w:rPr>
        <w:t>2019</w:t>
      </w:r>
      <w:r w:rsidR="00D4583F">
        <w:rPr>
          <w:rFonts w:cstheme="minorHAnsi"/>
          <w:color w:val="000000" w:themeColor="text1"/>
        </w:rPr>
        <w:t>.</w:t>
      </w:r>
      <w:r w:rsidRPr="0046220B">
        <w:rPr>
          <w:rFonts w:cstheme="minorHAnsi"/>
          <w:color w:val="000000" w:themeColor="text1"/>
        </w:rPr>
        <w:t xml:space="preserve"> </w:t>
      </w:r>
      <w:r w:rsidR="00D4583F">
        <w:rPr>
          <w:rFonts w:cstheme="minorHAnsi"/>
          <w:color w:val="000000" w:themeColor="text1"/>
        </w:rPr>
        <w:t>„</w:t>
      </w:r>
      <w:proofErr w:type="gramStart"/>
      <w:r w:rsidRPr="0046220B">
        <w:rPr>
          <w:rFonts w:cstheme="minorHAnsi"/>
          <w:color w:val="000000" w:themeColor="text1"/>
        </w:rPr>
        <w:t>Selbst</w:t>
      </w:r>
      <w:proofErr w:type="gramEnd"/>
      <w:r w:rsidRPr="0046220B">
        <w:rPr>
          <w:rFonts w:cstheme="minorHAnsi"/>
          <w:color w:val="000000" w:themeColor="text1"/>
        </w:rPr>
        <w:t xml:space="preserve"> wer mit dem Teufel tanzt, hat das Recht auf Recht</w:t>
      </w:r>
      <w:r w:rsidR="00D4583F">
        <w:rPr>
          <w:rFonts w:cstheme="minorHAnsi"/>
          <w:color w:val="000000" w:themeColor="text1"/>
        </w:rPr>
        <w:t>“. I</w:t>
      </w:r>
      <w:r w:rsidRPr="0046220B">
        <w:rPr>
          <w:rFonts w:cstheme="minorHAnsi"/>
          <w:color w:val="000000" w:themeColor="text1"/>
        </w:rPr>
        <w:t xml:space="preserve">n: Republik vom 5. Oktober 2019. URL: </w:t>
      </w:r>
      <w:hyperlink r:id="rId21" w:history="1">
        <w:r w:rsidR="009E7D23" w:rsidRPr="00687E65">
          <w:rPr>
            <w:rStyle w:val="Hyperlink"/>
            <w:rFonts w:cstheme="minorHAnsi"/>
          </w:rPr>
          <w:t>https://www.republik.ch/2019/10/04/selbst-wer-mit-dem-teufel-tanzt-hat-das-recht-auf-rechte</w:t>
        </w:r>
      </w:hyperlink>
      <w:r w:rsidR="009E7D23">
        <w:rPr>
          <w:rFonts w:cstheme="minorHAnsi"/>
          <w:color w:val="000000" w:themeColor="text1"/>
        </w:rPr>
        <w:t xml:space="preserve"> </w:t>
      </w:r>
      <w:r w:rsidRPr="0046220B">
        <w:rPr>
          <w:rFonts w:cstheme="minorHAnsi"/>
          <w:color w:val="000000" w:themeColor="text1"/>
        </w:rPr>
        <w:t>[zuletzt abgerufen am: 24.06.2024].</w:t>
      </w:r>
    </w:p>
    <w:p w14:paraId="3DA0E8F2" w14:textId="7D9C80C6" w:rsidR="003C268C" w:rsidRPr="0046220B" w:rsidRDefault="003C268C" w:rsidP="003C268C">
      <w:pPr>
        <w:spacing w:line="276" w:lineRule="auto"/>
        <w:jc w:val="both"/>
        <w:rPr>
          <w:rFonts w:cstheme="minorHAnsi"/>
          <w:color w:val="000000" w:themeColor="text1"/>
        </w:rPr>
      </w:pPr>
      <w:r w:rsidRPr="0046220B">
        <w:rPr>
          <w:rFonts w:cstheme="minorHAnsi"/>
          <w:color w:val="000000" w:themeColor="text1"/>
        </w:rPr>
        <w:t>Herdegen, Matthias</w:t>
      </w:r>
      <w:r w:rsidR="00D4583F">
        <w:rPr>
          <w:rFonts w:cstheme="minorHAnsi"/>
          <w:color w:val="000000" w:themeColor="text1"/>
        </w:rPr>
        <w:t xml:space="preserve">. </w:t>
      </w:r>
      <w:r w:rsidRPr="0046220B">
        <w:rPr>
          <w:rFonts w:cstheme="minorHAnsi"/>
          <w:color w:val="000000" w:themeColor="text1"/>
        </w:rPr>
        <w:t>2023</w:t>
      </w:r>
      <w:r w:rsidR="00D4583F">
        <w:rPr>
          <w:rFonts w:cstheme="minorHAnsi"/>
          <w:color w:val="000000" w:themeColor="text1"/>
        </w:rPr>
        <w:t>.</w:t>
      </w:r>
      <w:r w:rsidRPr="0046220B">
        <w:rPr>
          <w:rFonts w:cstheme="minorHAnsi"/>
          <w:color w:val="000000" w:themeColor="text1"/>
        </w:rPr>
        <w:t xml:space="preserve"> </w:t>
      </w:r>
      <w:r w:rsidR="00D4583F">
        <w:rPr>
          <w:rFonts w:cstheme="minorHAnsi"/>
          <w:color w:val="000000" w:themeColor="text1"/>
        </w:rPr>
        <w:t>„</w:t>
      </w:r>
      <w:r w:rsidRPr="0046220B">
        <w:rPr>
          <w:rFonts w:cstheme="minorHAnsi"/>
          <w:color w:val="000000" w:themeColor="text1"/>
        </w:rPr>
        <w:t>Völkerrecht</w:t>
      </w:r>
      <w:r w:rsidR="00D4583F">
        <w:rPr>
          <w:rFonts w:cstheme="minorHAnsi"/>
          <w:color w:val="000000" w:themeColor="text1"/>
        </w:rPr>
        <w:t>“</w:t>
      </w:r>
      <w:r w:rsidRPr="0046220B">
        <w:rPr>
          <w:rFonts w:cstheme="minorHAnsi"/>
          <w:color w:val="000000" w:themeColor="text1"/>
        </w:rPr>
        <w:t>. 22. Aufl. München: Beck.</w:t>
      </w:r>
    </w:p>
    <w:p w14:paraId="0D0FED3D" w14:textId="2FE6C2CB" w:rsidR="003C268C" w:rsidRPr="0046220B" w:rsidRDefault="003C268C" w:rsidP="003C268C">
      <w:pPr>
        <w:spacing w:line="276" w:lineRule="auto"/>
        <w:jc w:val="both"/>
        <w:rPr>
          <w:rFonts w:cstheme="minorHAnsi"/>
          <w:color w:val="000000" w:themeColor="text1"/>
        </w:rPr>
      </w:pPr>
      <w:r w:rsidRPr="0046220B">
        <w:rPr>
          <w:rFonts w:cstheme="minorHAnsi"/>
          <w:color w:val="000000" w:themeColor="text1"/>
        </w:rPr>
        <w:t>Heitmeyer, Wilhelm</w:t>
      </w:r>
      <w:r w:rsidR="001E6BBF">
        <w:rPr>
          <w:rFonts w:cstheme="minorHAnsi"/>
          <w:color w:val="000000" w:themeColor="text1"/>
        </w:rPr>
        <w:t>;</w:t>
      </w:r>
      <w:r w:rsidRPr="0046220B">
        <w:rPr>
          <w:rFonts w:cstheme="minorHAnsi"/>
          <w:color w:val="000000" w:themeColor="text1"/>
        </w:rPr>
        <w:t xml:space="preserve"> Müller, Joachim</w:t>
      </w:r>
      <w:r w:rsidR="001E6BBF">
        <w:rPr>
          <w:rFonts w:cstheme="minorHAnsi"/>
          <w:color w:val="000000" w:themeColor="text1"/>
        </w:rPr>
        <w:t>;</w:t>
      </w:r>
      <w:r w:rsidRPr="0046220B">
        <w:rPr>
          <w:rFonts w:cstheme="minorHAnsi"/>
          <w:color w:val="000000" w:themeColor="text1"/>
        </w:rPr>
        <w:t xml:space="preserve"> Schröder, Helmut</w:t>
      </w:r>
      <w:r w:rsidR="00D4583F">
        <w:rPr>
          <w:rFonts w:cstheme="minorHAnsi"/>
          <w:color w:val="000000" w:themeColor="text1"/>
        </w:rPr>
        <w:t xml:space="preserve">. </w:t>
      </w:r>
      <w:r w:rsidRPr="0046220B">
        <w:rPr>
          <w:rFonts w:cstheme="minorHAnsi"/>
          <w:color w:val="000000" w:themeColor="text1"/>
        </w:rPr>
        <w:t>1997</w:t>
      </w:r>
      <w:r w:rsidR="00D4583F">
        <w:rPr>
          <w:rFonts w:cstheme="minorHAnsi"/>
          <w:color w:val="000000" w:themeColor="text1"/>
        </w:rPr>
        <w:t>.</w:t>
      </w:r>
      <w:r w:rsidRPr="0046220B">
        <w:rPr>
          <w:rFonts w:cstheme="minorHAnsi"/>
          <w:color w:val="000000" w:themeColor="text1"/>
        </w:rPr>
        <w:t xml:space="preserve"> </w:t>
      </w:r>
      <w:r w:rsidR="00D4583F">
        <w:rPr>
          <w:rFonts w:cstheme="minorHAnsi"/>
          <w:color w:val="000000" w:themeColor="text1"/>
        </w:rPr>
        <w:t>„</w:t>
      </w:r>
      <w:r w:rsidRPr="0046220B">
        <w:rPr>
          <w:rFonts w:cstheme="minorHAnsi"/>
          <w:color w:val="000000" w:themeColor="text1"/>
        </w:rPr>
        <w:t>Verlockender Fundamentalismus</w:t>
      </w:r>
      <w:r w:rsidR="00D4583F">
        <w:rPr>
          <w:rFonts w:cstheme="minorHAnsi"/>
          <w:color w:val="000000" w:themeColor="text1"/>
        </w:rPr>
        <w:t>“</w:t>
      </w:r>
      <w:r w:rsidRPr="0046220B">
        <w:rPr>
          <w:rFonts w:cstheme="minorHAnsi"/>
          <w:color w:val="000000" w:themeColor="text1"/>
        </w:rPr>
        <w:t>. Türkische Jugendliche in Deutschland. Frankfurt am Main: Suhrkamp.</w:t>
      </w:r>
    </w:p>
    <w:p w14:paraId="04BDC2CF" w14:textId="6B64D2CA" w:rsidR="003C268C" w:rsidRPr="0046220B" w:rsidRDefault="003C268C" w:rsidP="003C268C">
      <w:pPr>
        <w:spacing w:line="276" w:lineRule="auto"/>
        <w:jc w:val="both"/>
        <w:rPr>
          <w:rFonts w:cstheme="minorHAnsi"/>
          <w:color w:val="000000" w:themeColor="text1"/>
        </w:rPr>
      </w:pPr>
      <w:r w:rsidRPr="0046220B">
        <w:rPr>
          <w:rFonts w:cstheme="minorHAnsi"/>
          <w:color w:val="000000" w:themeColor="text1"/>
        </w:rPr>
        <w:t>Hößl, Stefan E.</w:t>
      </w:r>
      <w:r w:rsidR="00D4583F">
        <w:rPr>
          <w:rFonts w:cstheme="minorHAnsi"/>
          <w:color w:val="000000" w:themeColor="text1"/>
        </w:rPr>
        <w:t xml:space="preserve"> </w:t>
      </w:r>
      <w:r w:rsidRPr="0046220B">
        <w:rPr>
          <w:rFonts w:cstheme="minorHAnsi"/>
          <w:color w:val="000000" w:themeColor="text1"/>
        </w:rPr>
        <w:t>2019</w:t>
      </w:r>
      <w:r w:rsidR="00D4583F">
        <w:rPr>
          <w:rFonts w:cstheme="minorHAnsi"/>
          <w:color w:val="000000" w:themeColor="text1"/>
        </w:rPr>
        <w:t>.</w:t>
      </w:r>
      <w:r w:rsidRPr="0046220B">
        <w:rPr>
          <w:rFonts w:cstheme="minorHAnsi"/>
          <w:color w:val="000000" w:themeColor="text1"/>
        </w:rPr>
        <w:t xml:space="preserve"> </w:t>
      </w:r>
      <w:r w:rsidR="00D4583F">
        <w:rPr>
          <w:rFonts w:cstheme="minorHAnsi"/>
          <w:color w:val="000000" w:themeColor="text1"/>
        </w:rPr>
        <w:t>„</w:t>
      </w:r>
      <w:r w:rsidRPr="0046220B">
        <w:rPr>
          <w:rFonts w:cstheme="minorHAnsi"/>
          <w:color w:val="000000" w:themeColor="text1"/>
        </w:rPr>
        <w:t xml:space="preserve">Diskriminierung und Radikalisierung. Zwei Seiten einer </w:t>
      </w:r>
      <w:r w:rsidR="00D4583F" w:rsidRPr="0046220B">
        <w:rPr>
          <w:rFonts w:cstheme="minorHAnsi"/>
          <w:color w:val="000000" w:themeColor="text1"/>
        </w:rPr>
        <w:t>Medaille</w:t>
      </w:r>
      <w:r w:rsidRPr="0046220B">
        <w:rPr>
          <w:rFonts w:cstheme="minorHAnsi"/>
          <w:color w:val="000000" w:themeColor="text1"/>
        </w:rPr>
        <w:t>!?</w:t>
      </w:r>
      <w:r w:rsidR="00D4583F">
        <w:rPr>
          <w:rFonts w:cstheme="minorHAnsi"/>
          <w:color w:val="000000" w:themeColor="text1"/>
        </w:rPr>
        <w:t>“</w:t>
      </w:r>
      <w:r w:rsidRPr="0046220B">
        <w:rPr>
          <w:rFonts w:cstheme="minorHAnsi"/>
          <w:color w:val="000000" w:themeColor="text1"/>
        </w:rPr>
        <w:t xml:space="preserve">. Bundeszentrale für Politische Bildung. URL: </w:t>
      </w:r>
      <w:hyperlink r:id="rId22" w:anchor="footnote-target-5" w:history="1">
        <w:r w:rsidR="009E7D23" w:rsidRPr="00687E65">
          <w:rPr>
            <w:rStyle w:val="Hyperlink"/>
            <w:rFonts w:cstheme="minorHAnsi"/>
          </w:rPr>
          <w:t>https://www.bpb.de/themen/infodienst/295672/diskriminierung-und-radikalisierung/#footnote-target-5</w:t>
        </w:r>
      </w:hyperlink>
      <w:r w:rsidR="009E7D23">
        <w:rPr>
          <w:rFonts w:cstheme="minorHAnsi"/>
          <w:color w:val="000000" w:themeColor="text1"/>
        </w:rPr>
        <w:t xml:space="preserve"> </w:t>
      </w:r>
      <w:r w:rsidRPr="0046220B">
        <w:rPr>
          <w:rFonts w:cstheme="minorHAnsi"/>
          <w:color w:val="000000" w:themeColor="text1"/>
        </w:rPr>
        <w:t>[zuletzt abgerufen am: 26.06.2024].</w:t>
      </w:r>
    </w:p>
    <w:p w14:paraId="7EE720B0" w14:textId="15F77211" w:rsidR="003C268C" w:rsidRPr="0046220B" w:rsidRDefault="003C268C" w:rsidP="003C268C">
      <w:pPr>
        <w:spacing w:line="276" w:lineRule="auto"/>
        <w:jc w:val="both"/>
        <w:rPr>
          <w:rFonts w:cstheme="minorHAnsi"/>
          <w:color w:val="000000" w:themeColor="text1"/>
        </w:rPr>
      </w:pPr>
      <w:r w:rsidRPr="0046220B">
        <w:rPr>
          <w:rFonts w:cstheme="minorHAnsi"/>
          <w:color w:val="000000" w:themeColor="text1"/>
        </w:rPr>
        <w:lastRenderedPageBreak/>
        <w:t>Jikhareva, Anna</w:t>
      </w:r>
      <w:r w:rsidR="00D4583F">
        <w:rPr>
          <w:rFonts w:cstheme="minorHAnsi"/>
          <w:color w:val="000000" w:themeColor="text1"/>
        </w:rPr>
        <w:t xml:space="preserve">. </w:t>
      </w:r>
      <w:r w:rsidRPr="0046220B">
        <w:rPr>
          <w:rFonts w:cstheme="minorHAnsi"/>
          <w:color w:val="000000" w:themeColor="text1"/>
        </w:rPr>
        <w:t>2019</w:t>
      </w:r>
      <w:r w:rsidR="00D4583F">
        <w:rPr>
          <w:rFonts w:cstheme="minorHAnsi"/>
          <w:color w:val="000000" w:themeColor="text1"/>
        </w:rPr>
        <w:t>.</w:t>
      </w:r>
      <w:r w:rsidRPr="0046220B">
        <w:rPr>
          <w:rFonts w:cstheme="minorHAnsi"/>
          <w:color w:val="000000" w:themeColor="text1"/>
        </w:rPr>
        <w:t xml:space="preserve"> </w:t>
      </w:r>
      <w:r w:rsidR="00D4583F">
        <w:rPr>
          <w:rFonts w:cstheme="minorHAnsi"/>
          <w:color w:val="000000" w:themeColor="text1"/>
        </w:rPr>
        <w:t>„</w:t>
      </w:r>
      <w:r w:rsidRPr="0046220B">
        <w:rPr>
          <w:rFonts w:cstheme="minorHAnsi"/>
          <w:color w:val="000000" w:themeColor="text1"/>
        </w:rPr>
        <w:t>Die erste Ausbürgerung</w:t>
      </w:r>
      <w:r w:rsidR="00D4583F">
        <w:rPr>
          <w:rFonts w:cstheme="minorHAnsi"/>
          <w:color w:val="000000" w:themeColor="text1"/>
        </w:rPr>
        <w:t>“.</w:t>
      </w:r>
      <w:r w:rsidRPr="0046220B">
        <w:rPr>
          <w:rFonts w:cstheme="minorHAnsi"/>
          <w:color w:val="000000" w:themeColor="text1"/>
        </w:rPr>
        <w:t xml:space="preserve"> </w:t>
      </w:r>
      <w:r w:rsidR="00D4583F">
        <w:rPr>
          <w:rFonts w:cstheme="minorHAnsi"/>
          <w:color w:val="000000" w:themeColor="text1"/>
        </w:rPr>
        <w:t>I</w:t>
      </w:r>
      <w:r w:rsidRPr="0046220B">
        <w:rPr>
          <w:rFonts w:cstheme="minorHAnsi"/>
          <w:color w:val="000000" w:themeColor="text1"/>
        </w:rPr>
        <w:t xml:space="preserve">n: Wochenzeitung Nr. 38/2019. </w:t>
      </w:r>
      <w:hyperlink r:id="rId23" w:history="1">
        <w:r w:rsidR="00CC536B" w:rsidRPr="00687E65">
          <w:rPr>
            <w:rStyle w:val="Hyperlink"/>
            <w:rFonts w:cstheme="minorHAnsi"/>
          </w:rPr>
          <w:t>https://www.woz.ch/1938/terrorismus-und-recht/die-erste-ausbuergerung</w:t>
        </w:r>
      </w:hyperlink>
      <w:r w:rsidR="00CC536B">
        <w:rPr>
          <w:rFonts w:cstheme="minorHAnsi"/>
          <w:color w:val="000000" w:themeColor="text1"/>
        </w:rPr>
        <w:t xml:space="preserve"> </w:t>
      </w:r>
      <w:r w:rsidRPr="0046220B">
        <w:rPr>
          <w:rFonts w:cstheme="minorHAnsi"/>
          <w:color w:val="000000" w:themeColor="text1"/>
        </w:rPr>
        <w:t>[zuletzt abgerufen am: 24.06.2024].</w:t>
      </w:r>
    </w:p>
    <w:p w14:paraId="39543051" w14:textId="06BED8B7" w:rsidR="003C268C" w:rsidRPr="0046220B" w:rsidRDefault="003C268C" w:rsidP="003C268C">
      <w:pPr>
        <w:spacing w:line="276" w:lineRule="auto"/>
        <w:jc w:val="both"/>
        <w:rPr>
          <w:rFonts w:cstheme="minorHAnsi"/>
          <w:color w:val="000000" w:themeColor="text1"/>
        </w:rPr>
      </w:pPr>
      <w:r w:rsidRPr="0046220B">
        <w:rPr>
          <w:rFonts w:cstheme="minorHAnsi"/>
          <w:color w:val="000000" w:themeColor="text1"/>
        </w:rPr>
        <w:t>Kälin, Walter</w:t>
      </w:r>
      <w:r w:rsidR="001E6BBF">
        <w:rPr>
          <w:rFonts w:cstheme="minorHAnsi"/>
          <w:color w:val="000000" w:themeColor="text1"/>
        </w:rPr>
        <w:t>;</w:t>
      </w:r>
      <w:r w:rsidRPr="0046220B">
        <w:rPr>
          <w:rFonts w:cstheme="minorHAnsi"/>
          <w:color w:val="000000" w:themeColor="text1"/>
        </w:rPr>
        <w:t xml:space="preserve"> Künzli, Jürg</w:t>
      </w:r>
      <w:r w:rsidR="00D4583F">
        <w:rPr>
          <w:rFonts w:cstheme="minorHAnsi"/>
          <w:color w:val="000000" w:themeColor="text1"/>
        </w:rPr>
        <w:t xml:space="preserve">. </w:t>
      </w:r>
      <w:r w:rsidRPr="0046220B">
        <w:rPr>
          <w:rFonts w:cstheme="minorHAnsi"/>
          <w:color w:val="000000" w:themeColor="text1"/>
        </w:rPr>
        <w:t>2019</w:t>
      </w:r>
      <w:r w:rsidR="00D4583F">
        <w:rPr>
          <w:rFonts w:cstheme="minorHAnsi"/>
          <w:color w:val="000000" w:themeColor="text1"/>
        </w:rPr>
        <w:t>.</w:t>
      </w:r>
      <w:r w:rsidRPr="0046220B">
        <w:rPr>
          <w:rFonts w:cstheme="minorHAnsi"/>
          <w:color w:val="000000" w:themeColor="text1"/>
        </w:rPr>
        <w:t xml:space="preserve"> </w:t>
      </w:r>
      <w:r w:rsidR="00D4583F">
        <w:rPr>
          <w:rFonts w:cstheme="minorHAnsi"/>
          <w:color w:val="000000" w:themeColor="text1"/>
        </w:rPr>
        <w:t>„</w:t>
      </w:r>
      <w:r w:rsidRPr="0046220B">
        <w:rPr>
          <w:rFonts w:cstheme="minorHAnsi"/>
          <w:color w:val="000000" w:themeColor="text1"/>
        </w:rPr>
        <w:t>Universeller Menschenrechtsschutz</w:t>
      </w:r>
      <w:r w:rsidR="00D4583F">
        <w:rPr>
          <w:rFonts w:cstheme="minorHAnsi"/>
          <w:color w:val="000000" w:themeColor="text1"/>
        </w:rPr>
        <w:t>“</w:t>
      </w:r>
      <w:r w:rsidRPr="0046220B">
        <w:rPr>
          <w:rFonts w:cstheme="minorHAnsi"/>
          <w:color w:val="000000" w:themeColor="text1"/>
        </w:rPr>
        <w:t>. 4. Aufl. Basel: Helbling.</w:t>
      </w:r>
    </w:p>
    <w:p w14:paraId="2154319F" w14:textId="67A53387" w:rsidR="003C268C" w:rsidRPr="0046220B" w:rsidRDefault="003C268C" w:rsidP="003C268C">
      <w:pPr>
        <w:spacing w:line="276" w:lineRule="auto"/>
        <w:jc w:val="both"/>
        <w:rPr>
          <w:rFonts w:cstheme="minorHAnsi"/>
          <w:color w:val="000000" w:themeColor="text1"/>
        </w:rPr>
      </w:pPr>
      <w:r w:rsidRPr="0046220B">
        <w:rPr>
          <w:rFonts w:cstheme="minorHAnsi"/>
          <w:color w:val="000000" w:themeColor="text1"/>
        </w:rPr>
        <w:t>Koller, Sofia</w:t>
      </w:r>
      <w:r w:rsidR="00D4583F">
        <w:rPr>
          <w:rFonts w:cstheme="minorHAnsi"/>
          <w:color w:val="000000" w:themeColor="text1"/>
        </w:rPr>
        <w:t xml:space="preserve">. </w:t>
      </w:r>
      <w:r w:rsidRPr="0046220B">
        <w:rPr>
          <w:rFonts w:cstheme="minorHAnsi"/>
          <w:color w:val="000000" w:themeColor="text1"/>
        </w:rPr>
        <w:t>2021</w:t>
      </w:r>
      <w:r w:rsidR="00D4583F">
        <w:rPr>
          <w:rFonts w:cstheme="minorHAnsi"/>
          <w:color w:val="000000" w:themeColor="text1"/>
        </w:rPr>
        <w:t>.</w:t>
      </w:r>
      <w:r w:rsidRPr="0046220B">
        <w:rPr>
          <w:rFonts w:cstheme="minorHAnsi"/>
          <w:color w:val="000000" w:themeColor="text1"/>
        </w:rPr>
        <w:t xml:space="preserve"> </w:t>
      </w:r>
      <w:r w:rsidR="00D4583F">
        <w:rPr>
          <w:rFonts w:cstheme="minorHAnsi"/>
          <w:color w:val="000000" w:themeColor="text1"/>
        </w:rPr>
        <w:t>„</w:t>
      </w:r>
      <w:r w:rsidRPr="0046220B">
        <w:rPr>
          <w:rFonts w:cstheme="minorHAnsi"/>
          <w:color w:val="000000" w:themeColor="text1"/>
        </w:rPr>
        <w:t>Holt deutsche IS-Kämpfer aus Syrien zurück!</w:t>
      </w:r>
      <w:r w:rsidR="00D4583F">
        <w:rPr>
          <w:rFonts w:cstheme="minorHAnsi"/>
          <w:color w:val="000000" w:themeColor="text1"/>
        </w:rPr>
        <w:t>“</w:t>
      </w:r>
      <w:r w:rsidRPr="0046220B">
        <w:rPr>
          <w:rFonts w:cstheme="minorHAnsi"/>
          <w:color w:val="000000" w:themeColor="text1"/>
        </w:rPr>
        <w:t xml:space="preserve"> In: Zeit online. URL: </w:t>
      </w:r>
      <w:hyperlink r:id="rId24" w:history="1">
        <w:r w:rsidR="00CC536B" w:rsidRPr="00687E65">
          <w:rPr>
            <w:rStyle w:val="Hyperlink"/>
            <w:rFonts w:cstheme="minorHAnsi"/>
          </w:rPr>
          <w:t>https://www.zeit.de/2021/19/deutsche-is-kaempfer-rueckholung-verantwortung-rechtsstaat-terrorismus-islamismus</w:t>
        </w:r>
      </w:hyperlink>
      <w:r w:rsidR="00CC536B">
        <w:rPr>
          <w:rFonts w:cstheme="minorHAnsi"/>
          <w:color w:val="000000" w:themeColor="text1"/>
        </w:rPr>
        <w:t xml:space="preserve"> </w:t>
      </w:r>
      <w:r w:rsidRPr="0046220B">
        <w:rPr>
          <w:rFonts w:cstheme="minorHAnsi"/>
          <w:color w:val="000000" w:themeColor="text1"/>
        </w:rPr>
        <w:t>[zuletzt abgerufen am: 24.05.2024].</w:t>
      </w:r>
    </w:p>
    <w:p w14:paraId="48589B0D" w14:textId="482FE91A" w:rsidR="003C268C" w:rsidRPr="0046220B" w:rsidRDefault="003C268C" w:rsidP="003C268C">
      <w:pPr>
        <w:spacing w:line="276" w:lineRule="auto"/>
        <w:jc w:val="both"/>
        <w:rPr>
          <w:rFonts w:cstheme="minorHAnsi"/>
          <w:color w:val="000000" w:themeColor="text1"/>
        </w:rPr>
      </w:pPr>
      <w:r w:rsidRPr="0046220B">
        <w:rPr>
          <w:rFonts w:cstheme="minorHAnsi"/>
          <w:color w:val="000000" w:themeColor="text1"/>
        </w:rPr>
        <w:t>Koller, Sofia</w:t>
      </w:r>
      <w:r w:rsidR="00D4583F">
        <w:rPr>
          <w:rFonts w:cstheme="minorHAnsi"/>
          <w:color w:val="000000" w:themeColor="text1"/>
        </w:rPr>
        <w:t xml:space="preserve">. </w:t>
      </w:r>
      <w:r w:rsidRPr="0046220B">
        <w:rPr>
          <w:rFonts w:cstheme="minorHAnsi"/>
          <w:color w:val="000000" w:themeColor="text1"/>
        </w:rPr>
        <w:t>2024</w:t>
      </w:r>
      <w:r w:rsidR="00D4583F">
        <w:rPr>
          <w:rFonts w:cstheme="minorHAnsi"/>
          <w:color w:val="000000" w:themeColor="text1"/>
        </w:rPr>
        <w:t>.</w:t>
      </w:r>
      <w:r w:rsidRPr="0046220B">
        <w:rPr>
          <w:rFonts w:cstheme="minorHAnsi"/>
          <w:color w:val="000000" w:themeColor="text1"/>
        </w:rPr>
        <w:t xml:space="preserve"> </w:t>
      </w:r>
      <w:r w:rsidR="00D4583F">
        <w:rPr>
          <w:rFonts w:cstheme="minorHAnsi"/>
          <w:color w:val="000000" w:themeColor="text1"/>
        </w:rPr>
        <w:t>„</w:t>
      </w:r>
      <w:r w:rsidRPr="0046220B">
        <w:rPr>
          <w:rFonts w:cstheme="minorHAnsi"/>
          <w:color w:val="000000" w:themeColor="text1"/>
        </w:rPr>
        <w:t>CEP-Webinar: Sechs Jahre Strafverfolgung von IS-Rückkehrerinnen</w:t>
      </w:r>
      <w:r w:rsidR="00D4583F">
        <w:rPr>
          <w:rFonts w:cstheme="minorHAnsi"/>
          <w:color w:val="000000" w:themeColor="text1"/>
        </w:rPr>
        <w:t>“</w:t>
      </w:r>
      <w:r w:rsidRPr="0046220B">
        <w:rPr>
          <w:rFonts w:cstheme="minorHAnsi"/>
          <w:color w:val="000000" w:themeColor="text1"/>
        </w:rPr>
        <w:t xml:space="preserve">. URL: </w:t>
      </w:r>
      <w:hyperlink r:id="rId25" w:history="1">
        <w:r w:rsidR="00CC536B" w:rsidRPr="00687E65">
          <w:rPr>
            <w:rStyle w:val="Hyperlink"/>
            <w:rFonts w:cstheme="minorHAnsi"/>
          </w:rPr>
          <w:t>https://www.youtube.com/watch?v=rS1OtXelMUY</w:t>
        </w:r>
      </w:hyperlink>
      <w:r w:rsidR="00CC536B">
        <w:rPr>
          <w:rFonts w:cstheme="minorHAnsi"/>
          <w:color w:val="000000" w:themeColor="text1"/>
        </w:rPr>
        <w:t xml:space="preserve"> </w:t>
      </w:r>
      <w:r w:rsidRPr="0046220B">
        <w:rPr>
          <w:rFonts w:cstheme="minorHAnsi"/>
          <w:color w:val="000000" w:themeColor="text1"/>
        </w:rPr>
        <w:t>[zuletzt abgerufen am: 27.05.2024].</w:t>
      </w:r>
    </w:p>
    <w:p w14:paraId="0138190E" w14:textId="6D3BDD7D" w:rsidR="003C268C" w:rsidRPr="00D4583F" w:rsidRDefault="003C268C" w:rsidP="003C268C">
      <w:pPr>
        <w:spacing w:line="276" w:lineRule="auto"/>
        <w:jc w:val="both"/>
        <w:rPr>
          <w:rFonts w:cstheme="minorHAnsi"/>
          <w:color w:val="000000" w:themeColor="text1"/>
        </w:rPr>
      </w:pPr>
      <w:r w:rsidRPr="00D4583F">
        <w:rPr>
          <w:rFonts w:cstheme="minorHAnsi"/>
          <w:color w:val="000000" w:themeColor="text1"/>
        </w:rPr>
        <w:t>Korteweg, Anna</w:t>
      </w:r>
      <w:r w:rsidR="00251010">
        <w:rPr>
          <w:rFonts w:cstheme="minorHAnsi"/>
          <w:color w:val="000000" w:themeColor="text1"/>
        </w:rPr>
        <w:t>;</w:t>
      </w:r>
      <w:r w:rsidRPr="00D4583F">
        <w:rPr>
          <w:rFonts w:cstheme="minorHAnsi"/>
          <w:color w:val="000000" w:themeColor="text1"/>
        </w:rPr>
        <w:t xml:space="preserve"> Yurdakul</w:t>
      </w:r>
      <w:r w:rsidR="003F1726">
        <w:rPr>
          <w:rFonts w:cstheme="minorHAnsi"/>
          <w:color w:val="000000" w:themeColor="text1"/>
        </w:rPr>
        <w:t>,</w:t>
      </w:r>
      <w:r w:rsidRPr="00D4583F">
        <w:rPr>
          <w:rFonts w:cstheme="minorHAnsi"/>
          <w:color w:val="000000" w:themeColor="text1"/>
        </w:rPr>
        <w:t xml:space="preserve"> Gökçe</w:t>
      </w:r>
      <w:r w:rsidR="00251010">
        <w:rPr>
          <w:rFonts w:cstheme="minorHAnsi"/>
          <w:color w:val="000000" w:themeColor="text1"/>
        </w:rPr>
        <w:t>;</w:t>
      </w:r>
      <w:r w:rsidRPr="00D4583F">
        <w:rPr>
          <w:rFonts w:cstheme="minorHAnsi"/>
          <w:color w:val="000000" w:themeColor="text1"/>
        </w:rPr>
        <w:t xml:space="preserve"> Sun</w:t>
      </w:r>
      <w:r w:rsidR="00DE682D">
        <w:rPr>
          <w:rFonts w:cstheme="minorHAnsi"/>
          <w:color w:val="000000" w:themeColor="text1"/>
        </w:rPr>
        <w:t>d</w:t>
      </w:r>
      <w:r w:rsidRPr="00D4583F">
        <w:rPr>
          <w:rFonts w:cstheme="minorHAnsi"/>
          <w:color w:val="000000" w:themeColor="text1"/>
        </w:rPr>
        <w:t>erland, Jillian</w:t>
      </w:r>
      <w:r w:rsidR="00251010">
        <w:rPr>
          <w:rFonts w:cstheme="minorHAnsi"/>
          <w:color w:val="000000" w:themeColor="text1"/>
        </w:rPr>
        <w:t>;</w:t>
      </w:r>
      <w:r w:rsidRPr="00D4583F">
        <w:rPr>
          <w:rFonts w:cstheme="minorHAnsi"/>
          <w:color w:val="000000" w:themeColor="text1"/>
        </w:rPr>
        <w:t xml:space="preserve"> Streppel, Marloes</w:t>
      </w:r>
      <w:r w:rsidR="00D4583F" w:rsidRPr="00D4583F">
        <w:rPr>
          <w:rFonts w:cstheme="minorHAnsi"/>
          <w:color w:val="000000" w:themeColor="text1"/>
        </w:rPr>
        <w:t xml:space="preserve">. </w:t>
      </w:r>
      <w:proofErr w:type="gramStart"/>
      <w:r w:rsidRPr="0046220B">
        <w:rPr>
          <w:rFonts w:cstheme="minorHAnsi"/>
          <w:color w:val="000000" w:themeColor="text1"/>
          <w:lang w:val="en-US"/>
        </w:rPr>
        <w:t>2023</w:t>
      </w:r>
      <w:r w:rsidR="00D4583F">
        <w:rPr>
          <w:rFonts w:cstheme="minorHAnsi"/>
          <w:color w:val="000000" w:themeColor="text1"/>
          <w:lang w:val="en-US"/>
        </w:rPr>
        <w:t>.</w:t>
      </w:r>
      <w:r w:rsidRPr="0046220B">
        <w:rPr>
          <w:rFonts w:cstheme="minorHAnsi"/>
          <w:color w:val="000000" w:themeColor="text1"/>
          <w:lang w:val="en-US"/>
        </w:rPr>
        <w:t xml:space="preserve"> </w:t>
      </w:r>
      <w:r w:rsidR="00574924" w:rsidRPr="001674F2">
        <w:rPr>
          <w:lang w:val="en-US"/>
        </w:rPr>
        <w:t>„</w:t>
      </w:r>
      <w:proofErr w:type="gramEnd"/>
      <w:r w:rsidR="00D4583F" w:rsidRPr="0046220B">
        <w:rPr>
          <w:rFonts w:cstheme="minorHAnsi"/>
          <w:color w:val="000000" w:themeColor="text1"/>
          <w:lang w:val="en-US"/>
        </w:rPr>
        <w:t>Social</w:t>
      </w:r>
      <w:r w:rsidRPr="0046220B">
        <w:rPr>
          <w:rFonts w:cstheme="minorHAnsi"/>
          <w:color w:val="000000" w:themeColor="text1"/>
          <w:lang w:val="en-US"/>
        </w:rPr>
        <w:t xml:space="preserve"> Reproduction Gone Wrong? The Citizenship Revocation and Rehabilitation of Young European Women Who Joined ISIS</w:t>
      </w:r>
      <w:r w:rsidR="00D4583F">
        <w:rPr>
          <w:rFonts w:cstheme="minorHAnsi"/>
          <w:color w:val="000000" w:themeColor="text1"/>
          <w:lang w:val="en-US"/>
        </w:rPr>
        <w:t xml:space="preserve">”. </w:t>
      </w:r>
      <w:r w:rsidR="00D4583F" w:rsidRPr="00D4583F">
        <w:rPr>
          <w:rFonts w:cstheme="minorHAnsi"/>
          <w:color w:val="000000" w:themeColor="text1"/>
        </w:rPr>
        <w:t>I</w:t>
      </w:r>
      <w:r w:rsidRPr="00D4583F">
        <w:rPr>
          <w:rFonts w:cstheme="minorHAnsi"/>
          <w:color w:val="000000" w:themeColor="text1"/>
        </w:rPr>
        <w:t>n Social Poli</w:t>
      </w:r>
      <w:r w:rsidR="008131F6">
        <w:rPr>
          <w:rFonts w:cstheme="minorHAnsi"/>
          <w:color w:val="000000" w:themeColor="text1"/>
        </w:rPr>
        <w:t>tic</w:t>
      </w:r>
      <w:r w:rsidRPr="00D4583F">
        <w:rPr>
          <w:rFonts w:cstheme="minorHAnsi"/>
          <w:color w:val="000000" w:themeColor="text1"/>
        </w:rPr>
        <w:t xml:space="preserve">s 2023 Volume 30 Nr. 4, 997–1017. </w:t>
      </w:r>
    </w:p>
    <w:p w14:paraId="270EF137" w14:textId="0F499347" w:rsidR="003C268C" w:rsidRPr="0046220B" w:rsidRDefault="003C268C" w:rsidP="003C268C">
      <w:pPr>
        <w:spacing w:line="276" w:lineRule="auto"/>
        <w:jc w:val="both"/>
        <w:rPr>
          <w:rFonts w:cstheme="minorHAnsi"/>
          <w:color w:val="000000" w:themeColor="text1"/>
        </w:rPr>
      </w:pPr>
      <w:r w:rsidRPr="0046220B">
        <w:rPr>
          <w:rFonts w:cstheme="minorHAnsi"/>
          <w:color w:val="000000" w:themeColor="text1"/>
        </w:rPr>
        <w:t>Marti, Kilian</w:t>
      </w:r>
      <w:r w:rsidR="00D4583F">
        <w:rPr>
          <w:rFonts w:cstheme="minorHAnsi"/>
          <w:color w:val="000000" w:themeColor="text1"/>
        </w:rPr>
        <w:t xml:space="preserve">. </w:t>
      </w:r>
      <w:r w:rsidRPr="0046220B">
        <w:rPr>
          <w:rFonts w:cstheme="minorHAnsi"/>
          <w:color w:val="000000" w:themeColor="text1"/>
        </w:rPr>
        <w:t>2024</w:t>
      </w:r>
      <w:r w:rsidR="00D4583F">
        <w:rPr>
          <w:rFonts w:cstheme="minorHAnsi"/>
          <w:color w:val="000000" w:themeColor="text1"/>
        </w:rPr>
        <w:t>.</w:t>
      </w:r>
      <w:r w:rsidRPr="0046220B">
        <w:rPr>
          <w:rFonts w:cstheme="minorHAnsi"/>
          <w:color w:val="000000" w:themeColor="text1"/>
        </w:rPr>
        <w:t xml:space="preserve"> </w:t>
      </w:r>
      <w:r w:rsidR="00D4583F">
        <w:rPr>
          <w:rFonts w:cstheme="minorHAnsi"/>
          <w:color w:val="000000" w:themeColor="text1"/>
        </w:rPr>
        <w:t>„</w:t>
      </w:r>
      <w:r w:rsidRPr="0046220B">
        <w:rPr>
          <w:rFonts w:cstheme="minorHAnsi"/>
          <w:color w:val="000000" w:themeColor="text1"/>
        </w:rPr>
        <w:t>Ein Regierungsrat spielt Richter – Minderjährigen darf man das Bürgerrecht nicht entziehen.</w:t>
      </w:r>
      <w:r w:rsidR="00D4583F">
        <w:rPr>
          <w:rFonts w:cstheme="minorHAnsi"/>
          <w:color w:val="000000" w:themeColor="text1"/>
        </w:rPr>
        <w:t>“</w:t>
      </w:r>
      <w:r w:rsidRPr="0046220B">
        <w:rPr>
          <w:rFonts w:cstheme="minorHAnsi"/>
          <w:color w:val="000000" w:themeColor="text1"/>
        </w:rPr>
        <w:t xml:space="preserve"> Watson Kommentar vom 06.03.2024. URL: </w:t>
      </w:r>
      <w:hyperlink r:id="rId26" w:history="1">
        <w:r w:rsidR="00574924" w:rsidRPr="00687E65">
          <w:rPr>
            <w:rStyle w:val="Hyperlink"/>
            <w:rFonts w:cstheme="minorHAnsi"/>
          </w:rPr>
          <w:t>https://www.watson.ch/schweiz/kommentar/577048704-politiker-spielt-richter-kein-buergerrechtsentzug-von-minderjaehrigen</w:t>
        </w:r>
      </w:hyperlink>
      <w:r w:rsidR="00574924">
        <w:rPr>
          <w:rFonts w:cstheme="minorHAnsi"/>
          <w:color w:val="000000" w:themeColor="text1"/>
        </w:rPr>
        <w:t xml:space="preserve"> </w:t>
      </w:r>
      <w:r w:rsidRPr="0046220B">
        <w:rPr>
          <w:rFonts w:cstheme="minorHAnsi"/>
          <w:color w:val="000000" w:themeColor="text1"/>
        </w:rPr>
        <w:t>[zuletzt abgerufen am: 15.10.2024].</w:t>
      </w:r>
    </w:p>
    <w:p w14:paraId="0FC07953" w14:textId="31EE172D" w:rsidR="003C268C" w:rsidRPr="0046220B" w:rsidRDefault="003C268C" w:rsidP="003C268C">
      <w:pPr>
        <w:spacing w:line="276" w:lineRule="auto"/>
        <w:jc w:val="both"/>
        <w:rPr>
          <w:rFonts w:cstheme="minorHAnsi"/>
          <w:color w:val="000000" w:themeColor="text1"/>
        </w:rPr>
      </w:pPr>
      <w:r w:rsidRPr="0046220B">
        <w:rPr>
          <w:rFonts w:cstheme="minorHAnsi"/>
          <w:color w:val="000000" w:themeColor="text1"/>
          <w:lang w:val="en-US"/>
        </w:rPr>
        <w:t>McMillan, Anne</w:t>
      </w:r>
      <w:r w:rsidR="00D4583F">
        <w:rPr>
          <w:rFonts w:cstheme="minorHAnsi"/>
          <w:color w:val="000000" w:themeColor="text1"/>
          <w:lang w:val="en-US"/>
        </w:rPr>
        <w:t xml:space="preserve">. </w:t>
      </w:r>
      <w:r w:rsidRPr="0046220B">
        <w:rPr>
          <w:rFonts w:cstheme="minorHAnsi"/>
          <w:color w:val="000000" w:themeColor="text1"/>
          <w:lang w:val="en-US"/>
        </w:rPr>
        <w:t>o.</w:t>
      </w:r>
      <w:r w:rsidR="00574924">
        <w:rPr>
          <w:rFonts w:cstheme="minorHAnsi"/>
          <w:color w:val="000000" w:themeColor="text1"/>
          <w:lang w:val="en-US"/>
        </w:rPr>
        <w:t xml:space="preserve"> </w:t>
      </w:r>
      <w:r w:rsidRPr="0046220B">
        <w:rPr>
          <w:rFonts w:cstheme="minorHAnsi"/>
          <w:color w:val="000000" w:themeColor="text1"/>
          <w:lang w:val="en-US"/>
        </w:rPr>
        <w:t>J</w:t>
      </w:r>
      <w:r w:rsidR="00D4583F">
        <w:rPr>
          <w:rFonts w:cstheme="minorHAnsi"/>
          <w:color w:val="000000" w:themeColor="text1"/>
          <w:lang w:val="en-US"/>
        </w:rPr>
        <w:t>.</w:t>
      </w:r>
      <w:r w:rsidRPr="0046220B">
        <w:rPr>
          <w:rFonts w:cstheme="minorHAnsi"/>
          <w:color w:val="000000" w:themeColor="text1"/>
          <w:lang w:val="en-US"/>
        </w:rPr>
        <w:t xml:space="preserve"> </w:t>
      </w:r>
      <w:r w:rsidR="00574924" w:rsidRPr="001674F2">
        <w:rPr>
          <w:lang w:val="en-GB"/>
        </w:rPr>
        <w:t>„</w:t>
      </w:r>
      <w:r w:rsidRPr="0046220B">
        <w:rPr>
          <w:rFonts w:cstheme="minorHAnsi"/>
          <w:color w:val="000000" w:themeColor="text1"/>
          <w:lang w:val="en-US"/>
        </w:rPr>
        <w:t>A punishment more primitive than torture</w:t>
      </w:r>
      <w:r w:rsidR="00D4583F">
        <w:rPr>
          <w:rFonts w:cstheme="minorHAnsi"/>
          <w:color w:val="000000" w:themeColor="text1"/>
          <w:lang w:val="en-US"/>
        </w:rPr>
        <w:t>”</w:t>
      </w:r>
      <w:r w:rsidRPr="0046220B">
        <w:rPr>
          <w:rFonts w:cstheme="minorHAnsi"/>
          <w:color w:val="000000" w:themeColor="text1"/>
          <w:lang w:val="en-US"/>
        </w:rPr>
        <w:t xml:space="preserve">. </w:t>
      </w:r>
      <w:r w:rsidRPr="0046220B">
        <w:rPr>
          <w:rFonts w:cstheme="minorHAnsi"/>
          <w:color w:val="000000" w:themeColor="text1"/>
        </w:rPr>
        <w:t xml:space="preserve">In: International Bar Association. URL: </w:t>
      </w:r>
      <w:hyperlink r:id="rId27" w:history="1">
        <w:r w:rsidR="00574924" w:rsidRPr="00687E65">
          <w:rPr>
            <w:rStyle w:val="Hyperlink"/>
            <w:rFonts w:cstheme="minorHAnsi"/>
          </w:rPr>
          <w:t>https://www.ibanet.org/article/0973CA3C-1549-4489-B0F4-0DC418085C28</w:t>
        </w:r>
      </w:hyperlink>
      <w:r w:rsidR="00574924">
        <w:rPr>
          <w:rFonts w:cstheme="minorHAnsi"/>
          <w:color w:val="000000" w:themeColor="text1"/>
        </w:rPr>
        <w:t xml:space="preserve"> </w:t>
      </w:r>
      <w:r w:rsidRPr="0046220B">
        <w:rPr>
          <w:rFonts w:cstheme="minorHAnsi"/>
          <w:color w:val="000000" w:themeColor="text1"/>
        </w:rPr>
        <w:t>[zuletzt abgerufen am: 23.05.2024].</w:t>
      </w:r>
    </w:p>
    <w:p w14:paraId="0879C9E0" w14:textId="712DA853" w:rsidR="003C268C" w:rsidRPr="001363CB" w:rsidRDefault="003C268C" w:rsidP="003C268C">
      <w:pPr>
        <w:spacing w:line="276" w:lineRule="auto"/>
        <w:jc w:val="both"/>
        <w:rPr>
          <w:rFonts w:cstheme="minorHAnsi"/>
          <w:color w:val="000000" w:themeColor="text1"/>
          <w:lang w:val="en-US"/>
        </w:rPr>
      </w:pPr>
      <w:r w:rsidRPr="0046220B">
        <w:rPr>
          <w:rFonts w:cstheme="minorHAnsi"/>
          <w:color w:val="000000" w:themeColor="text1"/>
          <w:lang w:val="en-US"/>
        </w:rPr>
        <w:t>Mehra, Tanya</w:t>
      </w:r>
      <w:r w:rsidR="00D4583F">
        <w:rPr>
          <w:rFonts w:cstheme="minorHAnsi"/>
          <w:color w:val="000000" w:themeColor="text1"/>
          <w:lang w:val="en-US"/>
        </w:rPr>
        <w:t xml:space="preserve">. </w:t>
      </w:r>
      <w:r w:rsidRPr="0046220B">
        <w:rPr>
          <w:rFonts w:cstheme="minorHAnsi"/>
          <w:color w:val="000000" w:themeColor="text1"/>
          <w:lang w:val="en-US"/>
        </w:rPr>
        <w:t>2024</w:t>
      </w:r>
      <w:r w:rsidR="00D4583F">
        <w:rPr>
          <w:rFonts w:cstheme="minorHAnsi"/>
          <w:color w:val="000000" w:themeColor="text1"/>
          <w:lang w:val="en-US"/>
        </w:rPr>
        <w:t>.</w:t>
      </w:r>
      <w:r w:rsidRPr="0046220B">
        <w:rPr>
          <w:rFonts w:cstheme="minorHAnsi"/>
          <w:color w:val="000000" w:themeColor="text1"/>
          <w:lang w:val="en-US"/>
        </w:rPr>
        <w:t xml:space="preserve"> </w:t>
      </w:r>
      <w:r w:rsidR="00574924" w:rsidRPr="001674F2">
        <w:rPr>
          <w:lang w:val="en-GB"/>
        </w:rPr>
        <w:t>„</w:t>
      </w:r>
      <w:r w:rsidRPr="0046220B">
        <w:rPr>
          <w:rFonts w:cstheme="minorHAnsi"/>
          <w:color w:val="000000" w:themeColor="text1"/>
          <w:lang w:val="en-US"/>
        </w:rPr>
        <w:t>Deprivation of nationality after a terrorist conviction: the unco</w:t>
      </w:r>
      <w:r w:rsidR="008131F6">
        <w:rPr>
          <w:rFonts w:cstheme="minorHAnsi"/>
          <w:color w:val="000000" w:themeColor="text1"/>
          <w:lang w:val="en-US"/>
        </w:rPr>
        <w:t>m</w:t>
      </w:r>
      <w:r w:rsidRPr="0046220B">
        <w:rPr>
          <w:rFonts w:cstheme="minorHAnsi"/>
          <w:color w:val="000000" w:themeColor="text1"/>
          <w:lang w:val="en-US"/>
        </w:rPr>
        <w:t>fortable truth</w:t>
      </w:r>
      <w:r w:rsidR="00D4583F">
        <w:rPr>
          <w:rFonts w:cstheme="minorHAnsi"/>
          <w:color w:val="000000" w:themeColor="text1"/>
          <w:lang w:val="en-US"/>
        </w:rPr>
        <w:t xml:space="preserve">”. </w:t>
      </w:r>
      <w:r w:rsidR="00D4583F" w:rsidRPr="001363CB">
        <w:rPr>
          <w:rFonts w:cstheme="minorHAnsi"/>
          <w:color w:val="000000" w:themeColor="text1"/>
          <w:lang w:val="en-US"/>
        </w:rPr>
        <w:t>I</w:t>
      </w:r>
      <w:r w:rsidRPr="001363CB">
        <w:rPr>
          <w:rFonts w:cstheme="minorHAnsi"/>
          <w:color w:val="000000" w:themeColor="text1"/>
          <w:lang w:val="en-US"/>
        </w:rPr>
        <w:t xml:space="preserve">n: The International Centre for Counter-Terrorism (ICCT) URL: </w:t>
      </w:r>
      <w:hyperlink r:id="rId28" w:history="1">
        <w:r w:rsidR="0056222F" w:rsidRPr="001363CB">
          <w:rPr>
            <w:rStyle w:val="Hyperlink"/>
            <w:rFonts w:cstheme="minorHAnsi"/>
            <w:lang w:val="en-US"/>
          </w:rPr>
          <w:t>https://www.icct.nl/publication/deprivation-nationality-after-terrorist-conviction-uncomfortable-truth</w:t>
        </w:r>
      </w:hyperlink>
      <w:r w:rsidR="0056222F" w:rsidRPr="001363CB">
        <w:rPr>
          <w:rFonts w:cstheme="minorHAnsi"/>
          <w:color w:val="000000" w:themeColor="text1"/>
          <w:lang w:val="en-US"/>
        </w:rPr>
        <w:t xml:space="preserve"> </w:t>
      </w:r>
      <w:r w:rsidRPr="001363CB">
        <w:rPr>
          <w:rFonts w:cstheme="minorHAnsi"/>
          <w:color w:val="000000" w:themeColor="text1"/>
          <w:lang w:val="en-US"/>
        </w:rPr>
        <w:t>[zuletzt abgerufen am: 23.05.2024].</w:t>
      </w:r>
    </w:p>
    <w:p w14:paraId="60D02519" w14:textId="29C1C0CA" w:rsidR="003C268C" w:rsidRPr="0046220B" w:rsidRDefault="003C268C" w:rsidP="003C268C">
      <w:pPr>
        <w:spacing w:line="276" w:lineRule="auto"/>
        <w:jc w:val="both"/>
        <w:rPr>
          <w:rFonts w:cstheme="minorHAnsi"/>
          <w:color w:val="000000" w:themeColor="text1"/>
          <w:lang w:val="en-US"/>
        </w:rPr>
      </w:pPr>
      <w:r w:rsidRPr="00D4583F">
        <w:rPr>
          <w:rFonts w:cstheme="minorHAnsi"/>
          <w:color w:val="000000" w:themeColor="text1"/>
        </w:rPr>
        <w:t>Mehra Tanya</w:t>
      </w:r>
      <w:r w:rsidR="00714A34">
        <w:rPr>
          <w:rFonts w:cstheme="minorHAnsi"/>
          <w:color w:val="000000" w:themeColor="text1"/>
        </w:rPr>
        <w:t>;</w:t>
      </w:r>
      <w:r w:rsidRPr="00D4583F">
        <w:rPr>
          <w:rFonts w:cstheme="minorHAnsi"/>
          <w:color w:val="000000" w:themeColor="text1"/>
        </w:rPr>
        <w:t xml:space="preserve"> Renard</w:t>
      </w:r>
      <w:r w:rsidR="00CB4435">
        <w:rPr>
          <w:rFonts w:cstheme="minorHAnsi"/>
          <w:color w:val="000000" w:themeColor="text1"/>
        </w:rPr>
        <w:t>,</w:t>
      </w:r>
      <w:r w:rsidRPr="00D4583F">
        <w:rPr>
          <w:rFonts w:cstheme="minorHAnsi"/>
          <w:color w:val="000000" w:themeColor="text1"/>
        </w:rPr>
        <w:t xml:space="preserve"> Thomas</w:t>
      </w:r>
      <w:r w:rsidR="00714A34">
        <w:rPr>
          <w:rFonts w:cstheme="minorHAnsi"/>
          <w:color w:val="000000" w:themeColor="text1"/>
        </w:rPr>
        <w:t>;</w:t>
      </w:r>
      <w:r w:rsidRPr="00D4583F">
        <w:rPr>
          <w:rFonts w:cstheme="minorHAnsi"/>
          <w:color w:val="000000" w:themeColor="text1"/>
        </w:rPr>
        <w:t xml:space="preserve"> Herbach</w:t>
      </w:r>
      <w:r w:rsidR="00CB4435">
        <w:rPr>
          <w:rFonts w:cstheme="minorHAnsi"/>
          <w:color w:val="000000" w:themeColor="text1"/>
        </w:rPr>
        <w:t>,</w:t>
      </w:r>
      <w:r w:rsidRPr="00D4583F">
        <w:rPr>
          <w:rFonts w:cstheme="minorHAnsi"/>
          <w:color w:val="000000" w:themeColor="text1"/>
        </w:rPr>
        <w:t xml:space="preserve"> Merlina, Hecker Marc, Koller Sofia</w:t>
      </w:r>
      <w:r w:rsidR="00D4583F" w:rsidRPr="00D4583F">
        <w:rPr>
          <w:rFonts w:cstheme="minorHAnsi"/>
          <w:color w:val="000000" w:themeColor="text1"/>
        </w:rPr>
        <w:t xml:space="preserve">. </w:t>
      </w:r>
      <w:r w:rsidRPr="0046220B">
        <w:rPr>
          <w:rFonts w:cstheme="minorHAnsi"/>
          <w:color w:val="000000" w:themeColor="text1"/>
          <w:lang w:val="en-US"/>
        </w:rPr>
        <w:t>2024</w:t>
      </w:r>
      <w:r w:rsidR="00D4583F">
        <w:rPr>
          <w:rFonts w:cstheme="minorHAnsi"/>
          <w:color w:val="000000" w:themeColor="text1"/>
          <w:lang w:val="en-US"/>
        </w:rPr>
        <w:t>.</w:t>
      </w:r>
      <w:r w:rsidRPr="0046220B">
        <w:rPr>
          <w:rFonts w:cstheme="minorHAnsi"/>
          <w:color w:val="000000" w:themeColor="text1"/>
          <w:lang w:val="en-US"/>
        </w:rPr>
        <w:t xml:space="preserve"> </w:t>
      </w:r>
      <w:r w:rsidR="00D4583F">
        <w:rPr>
          <w:rFonts w:cstheme="minorHAnsi"/>
          <w:color w:val="000000" w:themeColor="text1"/>
          <w:lang w:val="en-US"/>
        </w:rPr>
        <w:t>“</w:t>
      </w:r>
      <w:r w:rsidRPr="0046220B">
        <w:rPr>
          <w:rFonts w:cstheme="minorHAnsi"/>
          <w:color w:val="000000" w:themeColor="text1"/>
          <w:lang w:val="en-US"/>
        </w:rPr>
        <w:t>Female Jihadis Facing Justice. Comparing Approaches in Europe</w:t>
      </w:r>
      <w:r w:rsidR="00D4583F">
        <w:rPr>
          <w:rFonts w:cstheme="minorHAnsi"/>
          <w:color w:val="000000" w:themeColor="text1"/>
          <w:lang w:val="en-US"/>
        </w:rPr>
        <w:t>”</w:t>
      </w:r>
      <w:r w:rsidRPr="0046220B">
        <w:rPr>
          <w:rFonts w:cstheme="minorHAnsi"/>
          <w:color w:val="000000" w:themeColor="text1"/>
          <w:lang w:val="en-US"/>
        </w:rPr>
        <w:t xml:space="preserve">. International Centre for </w:t>
      </w:r>
      <w:proofErr w:type="gramStart"/>
      <w:r w:rsidRPr="0046220B">
        <w:rPr>
          <w:rFonts w:cstheme="minorHAnsi"/>
          <w:color w:val="000000" w:themeColor="text1"/>
          <w:lang w:val="en-US"/>
        </w:rPr>
        <w:t>Counter-Terrorism</w:t>
      </w:r>
      <w:proofErr w:type="gramEnd"/>
      <w:r w:rsidRPr="0046220B">
        <w:rPr>
          <w:rFonts w:cstheme="minorHAnsi"/>
          <w:color w:val="000000" w:themeColor="text1"/>
          <w:lang w:val="en-US"/>
        </w:rPr>
        <w:t>.</w:t>
      </w:r>
    </w:p>
    <w:p w14:paraId="346527CA" w14:textId="68A74395" w:rsidR="003C268C" w:rsidRPr="0046220B" w:rsidRDefault="003C268C" w:rsidP="003C268C">
      <w:pPr>
        <w:spacing w:line="276" w:lineRule="auto"/>
        <w:jc w:val="both"/>
        <w:rPr>
          <w:rFonts w:cstheme="minorHAnsi"/>
          <w:color w:val="000000" w:themeColor="text1"/>
          <w:lang w:val="en-US"/>
        </w:rPr>
      </w:pPr>
      <w:r w:rsidRPr="0046220B">
        <w:rPr>
          <w:rFonts w:cstheme="minorHAnsi"/>
          <w:color w:val="000000" w:themeColor="text1"/>
          <w:lang w:val="en-US"/>
        </w:rPr>
        <w:t>Merz, Fabien</w:t>
      </w:r>
      <w:r w:rsidR="00D4583F">
        <w:rPr>
          <w:rFonts w:cstheme="minorHAnsi"/>
          <w:color w:val="000000" w:themeColor="text1"/>
          <w:lang w:val="en-US"/>
        </w:rPr>
        <w:t xml:space="preserve">. </w:t>
      </w:r>
      <w:r w:rsidRPr="0046220B">
        <w:rPr>
          <w:rFonts w:cstheme="minorHAnsi"/>
          <w:color w:val="000000" w:themeColor="text1"/>
          <w:lang w:val="en-US"/>
        </w:rPr>
        <w:t>2022</w:t>
      </w:r>
      <w:r w:rsidR="00D4583F">
        <w:rPr>
          <w:rFonts w:cstheme="minorHAnsi"/>
          <w:color w:val="000000" w:themeColor="text1"/>
          <w:lang w:val="en-US"/>
        </w:rPr>
        <w:t>.</w:t>
      </w:r>
      <w:r w:rsidRPr="0046220B">
        <w:rPr>
          <w:rFonts w:cstheme="minorHAnsi"/>
          <w:color w:val="000000" w:themeColor="text1"/>
          <w:lang w:val="en-US"/>
        </w:rPr>
        <w:t xml:space="preserve"> </w:t>
      </w:r>
      <w:r w:rsidR="00D4583F">
        <w:rPr>
          <w:rFonts w:cstheme="minorHAnsi"/>
          <w:color w:val="000000" w:themeColor="text1"/>
          <w:lang w:val="en-US"/>
        </w:rPr>
        <w:t>“</w:t>
      </w:r>
      <w:r w:rsidRPr="0046220B">
        <w:rPr>
          <w:rFonts w:cstheme="minorHAnsi"/>
          <w:color w:val="000000" w:themeColor="text1"/>
          <w:lang w:val="en-US"/>
        </w:rPr>
        <w:t>The State of the Islamic State</w:t>
      </w:r>
      <w:r w:rsidR="00D4583F">
        <w:rPr>
          <w:rFonts w:cstheme="minorHAnsi"/>
          <w:color w:val="000000" w:themeColor="text1"/>
          <w:lang w:val="en-US"/>
        </w:rPr>
        <w:t>”</w:t>
      </w:r>
      <w:r w:rsidRPr="0046220B">
        <w:rPr>
          <w:rFonts w:cstheme="minorHAnsi"/>
          <w:color w:val="000000" w:themeColor="text1"/>
          <w:lang w:val="en-US"/>
        </w:rPr>
        <w:t>. Center for Security Studies (CSS) Analyses in Security Policy No. 299, March 2022, ETH Zürich.</w:t>
      </w:r>
    </w:p>
    <w:p w14:paraId="4A25E32A" w14:textId="6C28B039" w:rsidR="003C268C" w:rsidRPr="0046220B" w:rsidRDefault="003C268C" w:rsidP="003C268C">
      <w:pPr>
        <w:spacing w:line="276" w:lineRule="auto"/>
        <w:jc w:val="both"/>
        <w:rPr>
          <w:rFonts w:cstheme="minorHAnsi"/>
          <w:color w:val="000000" w:themeColor="text1"/>
        </w:rPr>
      </w:pPr>
      <w:r w:rsidRPr="0046220B">
        <w:rPr>
          <w:rFonts w:cstheme="minorHAnsi"/>
          <w:color w:val="000000" w:themeColor="text1"/>
        </w:rPr>
        <w:t>Meyer-Ladewig, Jens</w:t>
      </w:r>
      <w:r w:rsidR="00714A34">
        <w:rPr>
          <w:rFonts w:cstheme="minorHAnsi"/>
          <w:color w:val="000000" w:themeColor="text1"/>
        </w:rPr>
        <w:t>;</w:t>
      </w:r>
      <w:r w:rsidRPr="0046220B">
        <w:rPr>
          <w:rFonts w:cstheme="minorHAnsi"/>
          <w:color w:val="000000" w:themeColor="text1"/>
        </w:rPr>
        <w:t xml:space="preserve"> Nettesheim, Martin</w:t>
      </w:r>
      <w:r w:rsidR="00714A34">
        <w:rPr>
          <w:rFonts w:cstheme="minorHAnsi"/>
          <w:color w:val="000000" w:themeColor="text1"/>
        </w:rPr>
        <w:t>;</w:t>
      </w:r>
      <w:r w:rsidRPr="0046220B">
        <w:rPr>
          <w:rFonts w:cstheme="minorHAnsi"/>
          <w:color w:val="000000" w:themeColor="text1"/>
        </w:rPr>
        <w:t xml:space="preserve"> von Raumer, Stefan (Hrsg.)</w:t>
      </w:r>
      <w:r w:rsidR="00D4583F">
        <w:rPr>
          <w:rFonts w:cstheme="minorHAnsi"/>
          <w:color w:val="000000" w:themeColor="text1"/>
        </w:rPr>
        <w:t>.</w:t>
      </w:r>
      <w:r w:rsidRPr="0046220B">
        <w:rPr>
          <w:rFonts w:cstheme="minorHAnsi"/>
          <w:color w:val="000000" w:themeColor="text1"/>
        </w:rPr>
        <w:t xml:space="preserve"> 2023</w:t>
      </w:r>
      <w:r w:rsidR="00D4583F">
        <w:rPr>
          <w:rFonts w:cstheme="minorHAnsi"/>
          <w:color w:val="000000" w:themeColor="text1"/>
        </w:rPr>
        <w:t>.</w:t>
      </w:r>
      <w:r w:rsidRPr="0046220B">
        <w:rPr>
          <w:rFonts w:cstheme="minorHAnsi"/>
          <w:color w:val="000000" w:themeColor="text1"/>
        </w:rPr>
        <w:t xml:space="preserve"> </w:t>
      </w:r>
      <w:r w:rsidR="00D4583F">
        <w:rPr>
          <w:rFonts w:cstheme="minorHAnsi"/>
          <w:color w:val="000000" w:themeColor="text1"/>
        </w:rPr>
        <w:t>„</w:t>
      </w:r>
      <w:r w:rsidRPr="0046220B">
        <w:rPr>
          <w:rFonts w:cstheme="minorHAnsi"/>
          <w:color w:val="000000" w:themeColor="text1"/>
        </w:rPr>
        <w:t>EMRK Europäische Menschenrechtskonvention Handkommentar</w:t>
      </w:r>
      <w:r w:rsidR="00D4583F">
        <w:rPr>
          <w:rFonts w:cstheme="minorHAnsi"/>
          <w:color w:val="000000" w:themeColor="text1"/>
        </w:rPr>
        <w:t>“</w:t>
      </w:r>
      <w:r w:rsidRPr="0046220B">
        <w:rPr>
          <w:rFonts w:cstheme="minorHAnsi"/>
          <w:color w:val="000000" w:themeColor="text1"/>
        </w:rPr>
        <w:t>. 5. Aufl. Basel: Helbing Lichtenhahn</w:t>
      </w:r>
    </w:p>
    <w:p w14:paraId="55A29F36" w14:textId="0F04EBC2" w:rsidR="003C268C" w:rsidRPr="0046220B" w:rsidRDefault="003C268C" w:rsidP="003C268C">
      <w:pPr>
        <w:spacing w:line="276" w:lineRule="auto"/>
        <w:jc w:val="both"/>
        <w:rPr>
          <w:rFonts w:cstheme="minorHAnsi"/>
          <w:color w:val="000000" w:themeColor="text1"/>
        </w:rPr>
      </w:pPr>
      <w:r w:rsidRPr="0046220B">
        <w:rPr>
          <w:rFonts w:cstheme="minorHAnsi"/>
          <w:color w:val="000000" w:themeColor="text1"/>
        </w:rPr>
        <w:t>Osterwald, Jens</w:t>
      </w:r>
      <w:r w:rsidR="00D4583F">
        <w:rPr>
          <w:rFonts w:cstheme="minorHAnsi"/>
          <w:color w:val="000000" w:themeColor="text1"/>
        </w:rPr>
        <w:t xml:space="preserve">. </w:t>
      </w:r>
      <w:r w:rsidRPr="0046220B">
        <w:rPr>
          <w:rFonts w:cstheme="minorHAnsi"/>
          <w:color w:val="000000" w:themeColor="text1"/>
        </w:rPr>
        <w:t>2022</w:t>
      </w:r>
      <w:r w:rsidR="00D4583F">
        <w:rPr>
          <w:rFonts w:cstheme="minorHAnsi"/>
          <w:color w:val="000000" w:themeColor="text1"/>
        </w:rPr>
        <w:t>.</w:t>
      </w:r>
      <w:r w:rsidRPr="0046220B">
        <w:rPr>
          <w:rFonts w:cstheme="minorHAnsi"/>
          <w:color w:val="000000" w:themeColor="text1"/>
        </w:rPr>
        <w:t xml:space="preserve"> </w:t>
      </w:r>
      <w:r w:rsidR="00D4583F">
        <w:rPr>
          <w:rFonts w:cstheme="minorHAnsi"/>
          <w:color w:val="000000" w:themeColor="text1"/>
        </w:rPr>
        <w:t>„</w:t>
      </w:r>
      <w:r w:rsidRPr="0046220B">
        <w:rPr>
          <w:rFonts w:cstheme="minorHAnsi"/>
          <w:color w:val="000000" w:themeColor="text1"/>
        </w:rPr>
        <w:t>Soziale Arbeit und Radikalisierungsprävention: Kritische Überlegungen zur Methodenintegration</w:t>
      </w:r>
      <w:r w:rsidR="00D4583F">
        <w:rPr>
          <w:rFonts w:cstheme="minorHAnsi"/>
          <w:color w:val="000000" w:themeColor="text1"/>
        </w:rPr>
        <w:t>“</w:t>
      </w:r>
      <w:r w:rsidRPr="0046220B">
        <w:rPr>
          <w:rFonts w:cstheme="minorHAnsi"/>
          <w:color w:val="000000" w:themeColor="text1"/>
        </w:rPr>
        <w:t>. ZepRa Bd. 1/Nr. 1</w:t>
      </w:r>
      <w:r w:rsidR="008131F6">
        <w:rPr>
          <w:rFonts w:cstheme="minorHAnsi"/>
          <w:color w:val="000000" w:themeColor="text1"/>
        </w:rPr>
        <w:t>:</w:t>
      </w:r>
      <w:r w:rsidRPr="0046220B">
        <w:rPr>
          <w:rFonts w:cstheme="minorHAnsi"/>
          <w:color w:val="000000" w:themeColor="text1"/>
        </w:rPr>
        <w:t xml:space="preserve"> S. 5-34.</w:t>
      </w:r>
    </w:p>
    <w:p w14:paraId="5AC2B594" w14:textId="05C29AB0" w:rsidR="003C268C" w:rsidRPr="0046220B" w:rsidRDefault="003C268C" w:rsidP="003C268C">
      <w:pPr>
        <w:spacing w:line="276" w:lineRule="auto"/>
        <w:jc w:val="both"/>
        <w:rPr>
          <w:rFonts w:cstheme="minorHAnsi"/>
          <w:color w:val="000000" w:themeColor="text1"/>
        </w:rPr>
      </w:pPr>
      <w:r w:rsidRPr="0046220B">
        <w:rPr>
          <w:rFonts w:cstheme="minorHAnsi"/>
          <w:color w:val="000000" w:themeColor="text1"/>
        </w:rPr>
        <w:t>Schädler, Simon</w:t>
      </w:r>
      <w:r w:rsidR="00D4583F">
        <w:rPr>
          <w:rFonts w:cstheme="minorHAnsi"/>
          <w:color w:val="000000" w:themeColor="text1"/>
        </w:rPr>
        <w:t xml:space="preserve">. </w:t>
      </w:r>
      <w:r w:rsidRPr="0046220B">
        <w:rPr>
          <w:rFonts w:cstheme="minorHAnsi"/>
          <w:color w:val="000000" w:themeColor="text1"/>
        </w:rPr>
        <w:t>2014</w:t>
      </w:r>
      <w:r w:rsidR="00D61146">
        <w:rPr>
          <w:rFonts w:cstheme="minorHAnsi"/>
          <w:color w:val="000000" w:themeColor="text1"/>
        </w:rPr>
        <w:t>.</w:t>
      </w:r>
      <w:r w:rsidRPr="0046220B">
        <w:rPr>
          <w:rFonts w:cstheme="minorHAnsi"/>
          <w:color w:val="000000" w:themeColor="text1"/>
        </w:rPr>
        <w:t xml:space="preserve"> </w:t>
      </w:r>
      <w:r w:rsidR="00D61146">
        <w:rPr>
          <w:rFonts w:cstheme="minorHAnsi"/>
          <w:color w:val="000000" w:themeColor="text1"/>
        </w:rPr>
        <w:t>„</w:t>
      </w:r>
      <w:r w:rsidRPr="0046220B">
        <w:rPr>
          <w:rFonts w:cstheme="minorHAnsi"/>
          <w:color w:val="000000" w:themeColor="text1"/>
        </w:rPr>
        <w:t>Der Schutz des religiösen Friedens als Staatsaufgabe</w:t>
      </w:r>
      <w:r w:rsidR="00D61146">
        <w:rPr>
          <w:rFonts w:cstheme="minorHAnsi"/>
          <w:color w:val="000000" w:themeColor="text1"/>
        </w:rPr>
        <w:t>“</w:t>
      </w:r>
      <w:r w:rsidRPr="0046220B">
        <w:rPr>
          <w:rFonts w:cstheme="minorHAnsi"/>
          <w:color w:val="000000" w:themeColor="text1"/>
        </w:rPr>
        <w:t>. Zürich: Schulthess.</w:t>
      </w:r>
    </w:p>
    <w:p w14:paraId="630CD994" w14:textId="68BE5AD0" w:rsidR="00D61146" w:rsidRPr="0046220B" w:rsidRDefault="003C268C" w:rsidP="003C268C">
      <w:pPr>
        <w:spacing w:line="276" w:lineRule="auto"/>
        <w:jc w:val="both"/>
        <w:rPr>
          <w:rFonts w:cstheme="minorHAnsi"/>
          <w:color w:val="000000" w:themeColor="text1"/>
        </w:rPr>
      </w:pPr>
      <w:r w:rsidRPr="0046220B">
        <w:rPr>
          <w:rFonts w:cstheme="minorHAnsi"/>
          <w:color w:val="000000" w:themeColor="text1"/>
        </w:rPr>
        <w:t>Schwallbach, Nicole</w:t>
      </w:r>
      <w:r w:rsidR="00D61146">
        <w:rPr>
          <w:rFonts w:cstheme="minorHAnsi"/>
          <w:color w:val="000000" w:themeColor="text1"/>
        </w:rPr>
        <w:t xml:space="preserve">. </w:t>
      </w:r>
      <w:r w:rsidRPr="0046220B">
        <w:rPr>
          <w:rFonts w:cstheme="minorHAnsi"/>
          <w:color w:val="000000" w:themeColor="text1"/>
        </w:rPr>
        <w:t>2016</w:t>
      </w:r>
      <w:r w:rsidR="00D61146">
        <w:rPr>
          <w:rFonts w:cstheme="minorHAnsi"/>
          <w:color w:val="000000" w:themeColor="text1"/>
        </w:rPr>
        <w:t>.</w:t>
      </w:r>
      <w:r w:rsidRPr="0046220B">
        <w:rPr>
          <w:rFonts w:cstheme="minorHAnsi"/>
          <w:color w:val="000000" w:themeColor="text1"/>
        </w:rPr>
        <w:t xml:space="preserve"> </w:t>
      </w:r>
      <w:r w:rsidR="00D61146">
        <w:rPr>
          <w:rFonts w:cstheme="minorHAnsi"/>
          <w:color w:val="000000" w:themeColor="text1"/>
        </w:rPr>
        <w:t>„</w:t>
      </w:r>
      <w:r w:rsidRPr="0046220B">
        <w:rPr>
          <w:rFonts w:cstheme="minorHAnsi"/>
          <w:color w:val="000000" w:themeColor="text1"/>
        </w:rPr>
        <w:t>Ein Staat kann nicht nur gute Bürger haben, er muss auch mit den schlechten fertig werden: Die politische Aberkennung des Bürgerrechts</w:t>
      </w:r>
      <w:r w:rsidR="00D61146">
        <w:rPr>
          <w:rFonts w:cstheme="minorHAnsi"/>
          <w:color w:val="000000" w:themeColor="text1"/>
        </w:rPr>
        <w:t>“</w:t>
      </w:r>
      <w:r w:rsidRPr="0046220B">
        <w:rPr>
          <w:rFonts w:cstheme="minorHAnsi"/>
          <w:color w:val="000000" w:themeColor="text1"/>
        </w:rPr>
        <w:t>. Basel: Librum Publishers &amp; Editors LLC.</w:t>
      </w:r>
    </w:p>
    <w:p w14:paraId="22DDDCEE" w14:textId="70654914" w:rsidR="003C268C" w:rsidRPr="0046220B" w:rsidRDefault="003C268C" w:rsidP="003C268C">
      <w:pPr>
        <w:spacing w:line="276" w:lineRule="auto"/>
        <w:jc w:val="both"/>
        <w:rPr>
          <w:rFonts w:cstheme="minorHAnsi"/>
          <w:color w:val="000000" w:themeColor="text1"/>
        </w:rPr>
      </w:pPr>
      <w:r w:rsidRPr="0046220B">
        <w:rPr>
          <w:rFonts w:cstheme="minorHAnsi"/>
          <w:color w:val="000000" w:themeColor="text1"/>
        </w:rPr>
        <w:t>Schwarz, Mira</w:t>
      </w:r>
      <w:r w:rsidR="00D61146">
        <w:rPr>
          <w:rFonts w:cstheme="minorHAnsi"/>
          <w:color w:val="000000" w:themeColor="text1"/>
        </w:rPr>
        <w:t xml:space="preserve">. </w:t>
      </w:r>
      <w:r w:rsidRPr="0046220B">
        <w:rPr>
          <w:rFonts w:cstheme="minorHAnsi"/>
          <w:color w:val="000000" w:themeColor="text1"/>
        </w:rPr>
        <w:t>2022</w:t>
      </w:r>
      <w:r w:rsidR="00D61146">
        <w:rPr>
          <w:rFonts w:cstheme="minorHAnsi"/>
          <w:color w:val="000000" w:themeColor="text1"/>
        </w:rPr>
        <w:t>.</w:t>
      </w:r>
      <w:r w:rsidRPr="0046220B">
        <w:rPr>
          <w:rFonts w:cstheme="minorHAnsi"/>
          <w:color w:val="000000" w:themeColor="text1"/>
        </w:rPr>
        <w:t xml:space="preserve"> </w:t>
      </w:r>
      <w:r w:rsidR="00D61146">
        <w:rPr>
          <w:rFonts w:cstheme="minorHAnsi"/>
          <w:color w:val="000000" w:themeColor="text1"/>
        </w:rPr>
        <w:t>„</w:t>
      </w:r>
      <w:r w:rsidRPr="0046220B">
        <w:rPr>
          <w:rFonts w:cstheme="minorHAnsi"/>
          <w:color w:val="000000" w:themeColor="text1"/>
        </w:rPr>
        <w:t>Umgang mit Rückkehrer*innen nach Deutschland – Spannungsfeld zwischen Verantwortung und Sicherheitsrisiko</w:t>
      </w:r>
      <w:r w:rsidR="00D61146">
        <w:rPr>
          <w:rFonts w:cstheme="minorHAnsi"/>
          <w:color w:val="000000" w:themeColor="text1"/>
        </w:rPr>
        <w:t>“</w:t>
      </w:r>
      <w:r w:rsidRPr="0046220B">
        <w:rPr>
          <w:rFonts w:cstheme="minorHAnsi"/>
          <w:color w:val="000000" w:themeColor="text1"/>
        </w:rPr>
        <w:t xml:space="preserve">. Forschungsstelle für Radikalisierung und gewaltsame Konflikte, Fachhochschule Erfurt. URL: </w:t>
      </w:r>
      <w:hyperlink r:id="rId29" w:history="1">
        <w:r w:rsidR="0056222F" w:rsidRPr="00687E65">
          <w:rPr>
            <w:rStyle w:val="Hyperlink"/>
            <w:rFonts w:cstheme="minorHAnsi"/>
          </w:rPr>
          <w:t>https://ruk.fh-erfurt.de/umgang-mit-rueckkehrerinnen-nach-</w:t>
        </w:r>
        <w:r w:rsidR="0056222F" w:rsidRPr="00687E65">
          <w:rPr>
            <w:rStyle w:val="Hyperlink"/>
            <w:rFonts w:cstheme="minorHAnsi"/>
          </w:rPr>
          <w:lastRenderedPageBreak/>
          <w:t>deutschland-spannungsfeld-zwischen-verantwortung-und-sicherheitsrisiko/</w:t>
        </w:r>
      </w:hyperlink>
      <w:r w:rsidR="0056222F">
        <w:rPr>
          <w:rFonts w:cstheme="minorHAnsi"/>
          <w:color w:val="000000" w:themeColor="text1"/>
        </w:rPr>
        <w:t xml:space="preserve"> </w:t>
      </w:r>
      <w:r w:rsidRPr="0046220B">
        <w:rPr>
          <w:rFonts w:cstheme="minorHAnsi"/>
          <w:color w:val="000000" w:themeColor="text1"/>
        </w:rPr>
        <w:t>[zuletzt abgerufen am: 23.05.2024].</w:t>
      </w:r>
    </w:p>
    <w:p w14:paraId="7AA6DCEA" w14:textId="4896566B" w:rsidR="003C268C" w:rsidRPr="0046220B" w:rsidRDefault="003C268C" w:rsidP="003C268C">
      <w:pPr>
        <w:spacing w:line="276" w:lineRule="auto"/>
        <w:jc w:val="both"/>
        <w:rPr>
          <w:rFonts w:cstheme="minorHAnsi"/>
          <w:color w:val="000000" w:themeColor="text1"/>
        </w:rPr>
      </w:pPr>
      <w:r w:rsidRPr="0046220B">
        <w:rPr>
          <w:rFonts w:cstheme="minorHAnsi"/>
          <w:color w:val="000000" w:themeColor="text1"/>
        </w:rPr>
        <w:t>Schweizer Radio und Fernsehen SRF</w:t>
      </w:r>
      <w:r w:rsidR="00D61146">
        <w:rPr>
          <w:rFonts w:cstheme="minorHAnsi"/>
          <w:color w:val="000000" w:themeColor="text1"/>
        </w:rPr>
        <w:t xml:space="preserve">. </w:t>
      </w:r>
      <w:r w:rsidRPr="0046220B">
        <w:rPr>
          <w:rFonts w:cstheme="minorHAnsi"/>
          <w:color w:val="000000" w:themeColor="text1"/>
        </w:rPr>
        <w:t>2024</w:t>
      </w:r>
      <w:r w:rsidR="00D61146">
        <w:rPr>
          <w:rFonts w:cstheme="minorHAnsi"/>
          <w:color w:val="000000" w:themeColor="text1"/>
        </w:rPr>
        <w:t>.</w:t>
      </w:r>
      <w:r w:rsidRPr="0046220B">
        <w:rPr>
          <w:rFonts w:cstheme="minorHAnsi"/>
          <w:color w:val="000000" w:themeColor="text1"/>
        </w:rPr>
        <w:t xml:space="preserve"> </w:t>
      </w:r>
      <w:r w:rsidR="00D61146">
        <w:rPr>
          <w:rFonts w:cstheme="minorHAnsi"/>
          <w:color w:val="000000" w:themeColor="text1"/>
        </w:rPr>
        <w:t>„</w:t>
      </w:r>
      <w:r w:rsidRPr="0046220B">
        <w:rPr>
          <w:rFonts w:cstheme="minorHAnsi"/>
          <w:color w:val="000000" w:themeColor="text1"/>
        </w:rPr>
        <w:t>Diskussion um Ausbürgerung des Angreifers von Zürich</w:t>
      </w:r>
      <w:r w:rsidR="00D61146">
        <w:rPr>
          <w:rFonts w:cstheme="minorHAnsi"/>
          <w:color w:val="000000" w:themeColor="text1"/>
        </w:rPr>
        <w:t>“</w:t>
      </w:r>
      <w:r w:rsidRPr="0046220B">
        <w:rPr>
          <w:rFonts w:cstheme="minorHAnsi"/>
          <w:color w:val="000000" w:themeColor="text1"/>
        </w:rPr>
        <w:t>. URL:</w:t>
      </w:r>
      <w:r w:rsidR="006101D8">
        <w:rPr>
          <w:rFonts w:cstheme="minorHAnsi"/>
          <w:color w:val="000000" w:themeColor="text1"/>
        </w:rPr>
        <w:t xml:space="preserve"> </w:t>
      </w:r>
      <w:hyperlink r:id="rId30" w:anchor=":~:text=Nach%20dem%20Messerangriff%20auf%20einen,einem%20Interview%20mit%20der%20NZZ" w:history="1">
        <w:r w:rsidR="0056222F" w:rsidRPr="00687E65">
          <w:rPr>
            <w:rStyle w:val="Hyperlink"/>
            <w:rFonts w:cstheme="minorHAnsi"/>
          </w:rPr>
          <w:t>https://www.srf.ch/news/schweiz/angriff-auf-juden-diskussion-um-ausbuergerung-des-angreifers-von-zuerich#:~:text=Nach%20dem%20Messerangriff%20auf%20einen,einem%20Interview%20mit%20der%20NZZ</w:t>
        </w:r>
      </w:hyperlink>
      <w:r w:rsidR="0056222F">
        <w:rPr>
          <w:rFonts w:cstheme="minorHAnsi"/>
          <w:color w:val="000000" w:themeColor="text1"/>
        </w:rPr>
        <w:t xml:space="preserve"> </w:t>
      </w:r>
      <w:r w:rsidRPr="0046220B">
        <w:rPr>
          <w:rFonts w:cstheme="minorHAnsi"/>
          <w:color w:val="000000" w:themeColor="text1"/>
        </w:rPr>
        <w:t>[zuletzt abgerufen am: 24.06.2024].</w:t>
      </w:r>
    </w:p>
    <w:p w14:paraId="3F0437DA" w14:textId="5E9EDB2E" w:rsidR="003C268C" w:rsidRPr="0046220B" w:rsidRDefault="003C268C" w:rsidP="003C268C">
      <w:pPr>
        <w:spacing w:line="276" w:lineRule="auto"/>
        <w:jc w:val="both"/>
        <w:rPr>
          <w:rFonts w:cstheme="minorHAnsi"/>
          <w:color w:val="000000" w:themeColor="text1"/>
        </w:rPr>
      </w:pPr>
      <w:r w:rsidRPr="0046220B">
        <w:rPr>
          <w:rFonts w:cstheme="minorHAnsi"/>
          <w:color w:val="000000" w:themeColor="text1"/>
        </w:rPr>
        <w:t>Schweizerisches Kompetenzzentrum für den Justizvollzug</w:t>
      </w:r>
      <w:r w:rsidR="00D61146">
        <w:rPr>
          <w:rFonts w:cstheme="minorHAnsi"/>
          <w:color w:val="000000" w:themeColor="text1"/>
        </w:rPr>
        <w:t xml:space="preserve">. </w:t>
      </w:r>
      <w:r w:rsidRPr="0046220B">
        <w:rPr>
          <w:rFonts w:cstheme="minorHAnsi"/>
          <w:color w:val="000000" w:themeColor="text1"/>
        </w:rPr>
        <w:t>o.</w:t>
      </w:r>
      <w:r w:rsidR="0056222F">
        <w:rPr>
          <w:rFonts w:cstheme="minorHAnsi"/>
          <w:color w:val="000000" w:themeColor="text1"/>
        </w:rPr>
        <w:t xml:space="preserve"> </w:t>
      </w:r>
      <w:r w:rsidRPr="0046220B">
        <w:rPr>
          <w:rFonts w:cstheme="minorHAnsi"/>
          <w:color w:val="000000" w:themeColor="text1"/>
        </w:rPr>
        <w:t xml:space="preserve">J. </w:t>
      </w:r>
      <w:r w:rsidR="00D61146">
        <w:rPr>
          <w:rFonts w:cstheme="minorHAnsi"/>
          <w:color w:val="000000" w:themeColor="text1"/>
        </w:rPr>
        <w:t>„</w:t>
      </w:r>
      <w:r w:rsidRPr="0046220B">
        <w:rPr>
          <w:rFonts w:cstheme="minorHAnsi"/>
          <w:color w:val="000000" w:themeColor="text1"/>
        </w:rPr>
        <w:t>Ziele und Aufgaben des Justizvollzugs</w:t>
      </w:r>
      <w:r w:rsidR="00D61146">
        <w:rPr>
          <w:rFonts w:cstheme="minorHAnsi"/>
          <w:color w:val="000000" w:themeColor="text1"/>
        </w:rPr>
        <w:t>“</w:t>
      </w:r>
      <w:r w:rsidRPr="0046220B">
        <w:rPr>
          <w:rFonts w:cstheme="minorHAnsi"/>
          <w:color w:val="000000" w:themeColor="text1"/>
        </w:rPr>
        <w:t xml:space="preserve">. URL: </w:t>
      </w:r>
      <w:hyperlink r:id="rId31" w:history="1">
        <w:r w:rsidR="0056222F" w:rsidRPr="00687E65">
          <w:rPr>
            <w:rStyle w:val="Hyperlink"/>
            <w:rFonts w:cstheme="minorHAnsi"/>
          </w:rPr>
          <w:t>https://www.skjv.ch/de/was-ist-justizvollzug/ziele-aufgaben-des-justizvollzugs#</w:t>
        </w:r>
      </w:hyperlink>
      <w:r w:rsidR="0056222F">
        <w:rPr>
          <w:rFonts w:cstheme="minorHAnsi"/>
          <w:color w:val="000000" w:themeColor="text1"/>
        </w:rPr>
        <w:t xml:space="preserve"> </w:t>
      </w:r>
      <w:r w:rsidRPr="0046220B">
        <w:rPr>
          <w:rFonts w:cstheme="minorHAnsi"/>
          <w:color w:val="000000" w:themeColor="text1"/>
        </w:rPr>
        <w:t>[zuletzt abgerufen am: 24.06.2024].</w:t>
      </w:r>
    </w:p>
    <w:p w14:paraId="5A00C4CE" w14:textId="03F7A5CF" w:rsidR="003C268C" w:rsidRPr="0046220B" w:rsidRDefault="003C268C" w:rsidP="003C268C">
      <w:pPr>
        <w:spacing w:line="276" w:lineRule="auto"/>
        <w:jc w:val="both"/>
        <w:rPr>
          <w:rFonts w:cstheme="minorHAnsi"/>
          <w:color w:val="000000" w:themeColor="text1"/>
        </w:rPr>
      </w:pPr>
      <w:r w:rsidRPr="0046220B">
        <w:rPr>
          <w:rFonts w:cstheme="minorHAnsi"/>
          <w:color w:val="000000" w:themeColor="text1"/>
        </w:rPr>
        <w:t>Sicherheitsverbund Schweiz SVS</w:t>
      </w:r>
      <w:r w:rsidR="00305A82">
        <w:rPr>
          <w:rFonts w:cstheme="minorHAnsi"/>
          <w:color w:val="000000" w:themeColor="text1"/>
        </w:rPr>
        <w:t>.</w:t>
      </w:r>
      <w:r w:rsidRPr="0046220B">
        <w:rPr>
          <w:rFonts w:cstheme="minorHAnsi"/>
          <w:color w:val="000000" w:themeColor="text1"/>
        </w:rPr>
        <w:t xml:space="preserve"> o.</w:t>
      </w:r>
      <w:r w:rsidR="0056222F">
        <w:rPr>
          <w:rFonts w:cstheme="minorHAnsi"/>
          <w:color w:val="000000" w:themeColor="text1"/>
        </w:rPr>
        <w:t xml:space="preserve"> </w:t>
      </w:r>
      <w:r w:rsidRPr="0046220B">
        <w:rPr>
          <w:rFonts w:cstheme="minorHAnsi"/>
          <w:color w:val="000000" w:themeColor="text1"/>
        </w:rPr>
        <w:t>J. Nationaler Aktionsplan zur Verhinderung und Bekämpfung von Radikalisierung und gewalttätigem Extremismus 2023 – 2027. Zentrum digitale Medien der Armee.</w:t>
      </w:r>
    </w:p>
    <w:p w14:paraId="715E1B38" w14:textId="72D62536" w:rsidR="003C268C" w:rsidRPr="0046220B" w:rsidRDefault="003C268C" w:rsidP="003C268C">
      <w:pPr>
        <w:spacing w:line="276" w:lineRule="auto"/>
        <w:jc w:val="both"/>
        <w:rPr>
          <w:rFonts w:cstheme="minorHAnsi"/>
          <w:color w:val="000000" w:themeColor="text1"/>
        </w:rPr>
      </w:pPr>
      <w:r w:rsidRPr="0046220B">
        <w:rPr>
          <w:rFonts w:cstheme="minorHAnsi"/>
          <w:color w:val="000000" w:themeColor="text1"/>
        </w:rPr>
        <w:t>Spescha, Marc</w:t>
      </w:r>
      <w:r w:rsidR="00EC4D63">
        <w:rPr>
          <w:rFonts w:cstheme="minorHAnsi"/>
          <w:color w:val="000000" w:themeColor="text1"/>
        </w:rPr>
        <w:t>;</w:t>
      </w:r>
      <w:r w:rsidRPr="0046220B">
        <w:rPr>
          <w:rFonts w:cstheme="minorHAnsi"/>
          <w:color w:val="000000" w:themeColor="text1"/>
        </w:rPr>
        <w:t xml:space="preserve"> Zünd, Andreas</w:t>
      </w:r>
      <w:r w:rsidR="00EC4D63">
        <w:rPr>
          <w:rFonts w:cstheme="minorHAnsi"/>
          <w:color w:val="000000" w:themeColor="text1"/>
        </w:rPr>
        <w:t>;</w:t>
      </w:r>
      <w:r w:rsidRPr="0046220B">
        <w:rPr>
          <w:rFonts w:cstheme="minorHAnsi"/>
          <w:color w:val="000000" w:themeColor="text1"/>
        </w:rPr>
        <w:t xml:space="preserve"> Bolzli, Peter</w:t>
      </w:r>
      <w:r w:rsidR="00EC4D63">
        <w:rPr>
          <w:rFonts w:cstheme="minorHAnsi"/>
          <w:color w:val="000000" w:themeColor="text1"/>
        </w:rPr>
        <w:t>;</w:t>
      </w:r>
      <w:r w:rsidRPr="0046220B">
        <w:rPr>
          <w:rFonts w:cstheme="minorHAnsi"/>
          <w:color w:val="000000" w:themeColor="text1"/>
        </w:rPr>
        <w:t xml:space="preserve"> Hruschka</w:t>
      </w:r>
      <w:r w:rsidR="00EC4D63">
        <w:rPr>
          <w:rFonts w:cstheme="minorHAnsi"/>
          <w:color w:val="000000" w:themeColor="text1"/>
        </w:rPr>
        <w:t>,</w:t>
      </w:r>
      <w:r w:rsidRPr="0046220B">
        <w:rPr>
          <w:rFonts w:cstheme="minorHAnsi"/>
          <w:color w:val="000000" w:themeColor="text1"/>
        </w:rPr>
        <w:t xml:space="preserve"> Constantin</w:t>
      </w:r>
      <w:r w:rsidR="00EC4D63">
        <w:rPr>
          <w:rFonts w:cstheme="minorHAnsi"/>
          <w:color w:val="000000" w:themeColor="text1"/>
        </w:rPr>
        <w:t>;</w:t>
      </w:r>
      <w:r w:rsidRPr="0046220B">
        <w:rPr>
          <w:rFonts w:cstheme="minorHAnsi"/>
          <w:color w:val="000000" w:themeColor="text1"/>
        </w:rPr>
        <w:t xml:space="preserve"> de Weck, Fanny</w:t>
      </w:r>
      <w:r w:rsidR="00EC4D63">
        <w:rPr>
          <w:rFonts w:cstheme="minorHAnsi"/>
          <w:color w:val="000000" w:themeColor="text1"/>
        </w:rPr>
        <w:t>;</w:t>
      </w:r>
      <w:r w:rsidRPr="0046220B">
        <w:rPr>
          <w:rFonts w:cstheme="minorHAnsi"/>
          <w:color w:val="000000" w:themeColor="text1"/>
        </w:rPr>
        <w:t xml:space="preserve"> Priuli, Valerio</w:t>
      </w:r>
      <w:r w:rsidR="00305A82">
        <w:rPr>
          <w:rFonts w:cstheme="minorHAnsi"/>
          <w:color w:val="000000" w:themeColor="text1"/>
        </w:rPr>
        <w:t xml:space="preserve">. </w:t>
      </w:r>
      <w:r w:rsidRPr="0046220B">
        <w:rPr>
          <w:rFonts w:cstheme="minorHAnsi"/>
          <w:color w:val="000000" w:themeColor="text1"/>
        </w:rPr>
        <w:t>2019</w:t>
      </w:r>
      <w:r w:rsidR="00305A82">
        <w:rPr>
          <w:rFonts w:cstheme="minorHAnsi"/>
          <w:color w:val="000000" w:themeColor="text1"/>
        </w:rPr>
        <w:t>.</w:t>
      </w:r>
      <w:r w:rsidRPr="0046220B">
        <w:rPr>
          <w:rFonts w:cstheme="minorHAnsi"/>
          <w:color w:val="000000" w:themeColor="text1"/>
        </w:rPr>
        <w:t xml:space="preserve"> Kommentar Migrationsrecht. 5. Aufl. Zürich: Orell Füssli</w:t>
      </w:r>
    </w:p>
    <w:p w14:paraId="4085D420" w14:textId="507C55FE" w:rsidR="003C268C" w:rsidRPr="0046220B" w:rsidRDefault="003C268C" w:rsidP="003C268C">
      <w:pPr>
        <w:spacing w:line="276" w:lineRule="auto"/>
        <w:jc w:val="both"/>
        <w:rPr>
          <w:rFonts w:cstheme="minorHAnsi"/>
          <w:color w:val="000000" w:themeColor="text1"/>
        </w:rPr>
      </w:pPr>
      <w:r w:rsidRPr="0046220B">
        <w:rPr>
          <w:rFonts w:cstheme="minorHAnsi"/>
          <w:color w:val="000000" w:themeColor="text1"/>
        </w:rPr>
        <w:t>Staatssekretariat für Migration</w:t>
      </w:r>
      <w:r w:rsidR="00305A82">
        <w:rPr>
          <w:rFonts w:cstheme="minorHAnsi"/>
          <w:color w:val="000000" w:themeColor="text1"/>
        </w:rPr>
        <w:t xml:space="preserve">. </w:t>
      </w:r>
      <w:r w:rsidRPr="0046220B">
        <w:rPr>
          <w:rFonts w:cstheme="minorHAnsi"/>
          <w:color w:val="000000" w:themeColor="text1"/>
        </w:rPr>
        <w:t>2022</w:t>
      </w:r>
      <w:r w:rsidR="00305A82">
        <w:rPr>
          <w:rFonts w:cstheme="minorHAnsi"/>
          <w:color w:val="000000" w:themeColor="text1"/>
        </w:rPr>
        <w:t>.</w:t>
      </w:r>
      <w:r w:rsidRPr="0046220B">
        <w:rPr>
          <w:rFonts w:cstheme="minorHAnsi"/>
          <w:color w:val="000000" w:themeColor="text1"/>
        </w:rPr>
        <w:t xml:space="preserve"> Weisungen und Kreisschreiben, V. Bürgerrecht, Bern.</w:t>
      </w:r>
    </w:p>
    <w:p w14:paraId="2F4FC66A" w14:textId="42BF29C9" w:rsidR="003C268C" w:rsidRPr="0046220B" w:rsidRDefault="003C268C" w:rsidP="003C268C">
      <w:pPr>
        <w:spacing w:line="276" w:lineRule="auto"/>
        <w:jc w:val="both"/>
        <w:rPr>
          <w:rFonts w:cstheme="minorHAnsi"/>
          <w:color w:val="000000" w:themeColor="text1"/>
        </w:rPr>
      </w:pPr>
      <w:r w:rsidRPr="0046220B">
        <w:rPr>
          <w:rFonts w:cstheme="minorHAnsi"/>
          <w:color w:val="000000" w:themeColor="text1"/>
        </w:rPr>
        <w:t>Stein, Torsten</w:t>
      </w:r>
      <w:r w:rsidR="00DF44D9">
        <w:rPr>
          <w:rFonts w:cstheme="minorHAnsi"/>
          <w:color w:val="000000" w:themeColor="text1"/>
        </w:rPr>
        <w:t xml:space="preserve">; </w:t>
      </w:r>
      <w:r w:rsidR="003C7244">
        <w:rPr>
          <w:rFonts w:cstheme="minorHAnsi"/>
          <w:color w:val="000000" w:themeColor="text1"/>
        </w:rPr>
        <w:t xml:space="preserve">von </w:t>
      </w:r>
      <w:r w:rsidRPr="0046220B">
        <w:rPr>
          <w:rFonts w:cstheme="minorHAnsi"/>
          <w:color w:val="000000" w:themeColor="text1"/>
        </w:rPr>
        <w:t>Buttlar, Christian</w:t>
      </w:r>
      <w:r w:rsidR="003C7244">
        <w:rPr>
          <w:rFonts w:cstheme="minorHAnsi"/>
          <w:color w:val="000000" w:themeColor="text1"/>
        </w:rPr>
        <w:t>;</w:t>
      </w:r>
      <w:r w:rsidRPr="0046220B">
        <w:rPr>
          <w:rFonts w:cstheme="minorHAnsi"/>
          <w:color w:val="000000" w:themeColor="text1"/>
        </w:rPr>
        <w:t xml:space="preserve"> Kotzur, Markus</w:t>
      </w:r>
      <w:r w:rsidR="00305A82">
        <w:rPr>
          <w:rFonts w:cstheme="minorHAnsi"/>
          <w:color w:val="000000" w:themeColor="text1"/>
        </w:rPr>
        <w:t xml:space="preserve">. </w:t>
      </w:r>
      <w:r w:rsidRPr="0046220B">
        <w:rPr>
          <w:rFonts w:cstheme="minorHAnsi"/>
          <w:color w:val="000000" w:themeColor="text1"/>
        </w:rPr>
        <w:t>2016</w:t>
      </w:r>
      <w:r w:rsidR="00305A82">
        <w:rPr>
          <w:rFonts w:cstheme="minorHAnsi"/>
          <w:color w:val="000000" w:themeColor="text1"/>
        </w:rPr>
        <w:t>.</w:t>
      </w:r>
      <w:r w:rsidRPr="0046220B">
        <w:rPr>
          <w:rFonts w:cstheme="minorHAnsi"/>
          <w:color w:val="000000" w:themeColor="text1"/>
        </w:rPr>
        <w:t xml:space="preserve"> Völkerrecht. 14. Aufl. München: Vahlen.</w:t>
      </w:r>
    </w:p>
    <w:p w14:paraId="7D51495B" w14:textId="4343F68E" w:rsidR="003C268C" w:rsidRPr="0046220B" w:rsidRDefault="003C268C" w:rsidP="003C268C">
      <w:pPr>
        <w:spacing w:line="276" w:lineRule="auto"/>
        <w:jc w:val="both"/>
        <w:rPr>
          <w:rFonts w:cstheme="minorHAnsi"/>
          <w:color w:val="000000" w:themeColor="text1"/>
        </w:rPr>
      </w:pPr>
      <w:r w:rsidRPr="0046220B">
        <w:rPr>
          <w:rFonts w:cstheme="minorHAnsi"/>
          <w:color w:val="000000" w:themeColor="text1"/>
        </w:rPr>
        <w:t>Uebersax, Peter</w:t>
      </w:r>
      <w:r w:rsidR="008A618B">
        <w:rPr>
          <w:rFonts w:cstheme="minorHAnsi"/>
          <w:color w:val="000000" w:themeColor="text1"/>
        </w:rPr>
        <w:t>;</w:t>
      </w:r>
      <w:r w:rsidRPr="0046220B">
        <w:rPr>
          <w:rFonts w:cstheme="minorHAnsi"/>
          <w:color w:val="000000" w:themeColor="text1"/>
        </w:rPr>
        <w:t xml:space="preserve"> Rudin</w:t>
      </w:r>
      <w:r w:rsidR="00086B17">
        <w:rPr>
          <w:rFonts w:cstheme="minorHAnsi"/>
          <w:color w:val="000000" w:themeColor="text1"/>
        </w:rPr>
        <w:t>,</w:t>
      </w:r>
      <w:r w:rsidRPr="0046220B">
        <w:rPr>
          <w:rFonts w:cstheme="minorHAnsi"/>
          <w:color w:val="000000" w:themeColor="text1"/>
        </w:rPr>
        <w:t xml:space="preserve"> Beat</w:t>
      </w:r>
      <w:r w:rsidR="00086B17">
        <w:rPr>
          <w:rFonts w:cstheme="minorHAnsi"/>
          <w:color w:val="000000" w:themeColor="text1"/>
        </w:rPr>
        <w:t>;</w:t>
      </w:r>
      <w:r w:rsidRPr="0046220B">
        <w:rPr>
          <w:rFonts w:cstheme="minorHAnsi"/>
          <w:color w:val="000000" w:themeColor="text1"/>
        </w:rPr>
        <w:t xml:space="preserve"> Hugi Yar, Thomas</w:t>
      </w:r>
      <w:r w:rsidR="0045009D">
        <w:rPr>
          <w:rFonts w:cstheme="minorHAnsi"/>
          <w:color w:val="000000" w:themeColor="text1"/>
        </w:rPr>
        <w:t>;</w:t>
      </w:r>
      <w:r w:rsidRPr="0046220B">
        <w:rPr>
          <w:rFonts w:cstheme="minorHAnsi"/>
          <w:color w:val="000000" w:themeColor="text1"/>
        </w:rPr>
        <w:t xml:space="preserve"> Geiser, Thomas</w:t>
      </w:r>
      <w:r w:rsidR="0045009D">
        <w:rPr>
          <w:rFonts w:cstheme="minorHAnsi"/>
          <w:color w:val="000000" w:themeColor="text1"/>
        </w:rPr>
        <w:t>;</w:t>
      </w:r>
      <w:r w:rsidRPr="0046220B">
        <w:rPr>
          <w:rFonts w:cstheme="minorHAnsi"/>
          <w:color w:val="000000" w:themeColor="text1"/>
        </w:rPr>
        <w:t xml:space="preserve"> Vetterli, Luzia</w:t>
      </w:r>
      <w:r w:rsidR="00305A82">
        <w:rPr>
          <w:rFonts w:cstheme="minorHAnsi"/>
          <w:color w:val="000000" w:themeColor="text1"/>
        </w:rPr>
        <w:t xml:space="preserve">. </w:t>
      </w:r>
      <w:r w:rsidRPr="0046220B">
        <w:rPr>
          <w:rFonts w:cstheme="minorHAnsi"/>
          <w:color w:val="000000" w:themeColor="text1"/>
        </w:rPr>
        <w:t>2022</w:t>
      </w:r>
      <w:r w:rsidR="00305A82">
        <w:rPr>
          <w:rFonts w:cstheme="minorHAnsi"/>
          <w:color w:val="000000" w:themeColor="text1"/>
        </w:rPr>
        <w:t>.</w:t>
      </w:r>
      <w:r w:rsidRPr="0046220B">
        <w:rPr>
          <w:rFonts w:cstheme="minorHAnsi"/>
          <w:color w:val="000000" w:themeColor="text1"/>
        </w:rPr>
        <w:t xml:space="preserve"> Ausländerrecht. Basel: Helbing Lichtenhahn.</w:t>
      </w:r>
    </w:p>
    <w:p w14:paraId="4385A85A" w14:textId="3ABE2806" w:rsidR="003C268C" w:rsidRPr="0046220B" w:rsidRDefault="003C268C" w:rsidP="003C268C">
      <w:pPr>
        <w:spacing w:line="276" w:lineRule="auto"/>
        <w:jc w:val="both"/>
        <w:rPr>
          <w:rFonts w:cstheme="minorHAnsi"/>
          <w:color w:val="000000" w:themeColor="text1"/>
        </w:rPr>
      </w:pPr>
      <w:r w:rsidRPr="0046220B">
        <w:rPr>
          <w:rFonts w:cstheme="minorHAnsi"/>
          <w:color w:val="000000" w:themeColor="text1"/>
        </w:rPr>
        <w:t>von Rütte, Barbara</w:t>
      </w:r>
      <w:r w:rsidR="00305A82">
        <w:rPr>
          <w:rFonts w:cstheme="minorHAnsi"/>
          <w:color w:val="000000" w:themeColor="text1"/>
        </w:rPr>
        <w:t xml:space="preserve">. </w:t>
      </w:r>
      <w:r w:rsidRPr="0046220B">
        <w:rPr>
          <w:rFonts w:cstheme="minorHAnsi"/>
          <w:color w:val="000000" w:themeColor="text1"/>
        </w:rPr>
        <w:t>2023</w:t>
      </w:r>
      <w:r w:rsidR="00305A82">
        <w:rPr>
          <w:rFonts w:cstheme="minorHAnsi"/>
          <w:color w:val="000000" w:themeColor="text1"/>
        </w:rPr>
        <w:t>.</w:t>
      </w:r>
      <w:r w:rsidRPr="0046220B">
        <w:rPr>
          <w:rFonts w:cstheme="minorHAnsi"/>
          <w:color w:val="000000" w:themeColor="text1"/>
        </w:rPr>
        <w:t xml:space="preserve"> Der Entzug des Bürgerrechts. Eine Einordnung der Schweizer Praxis, Bern: sui generis URL: </w:t>
      </w:r>
      <w:hyperlink r:id="rId32" w:history="1">
        <w:r w:rsidR="0056222F" w:rsidRPr="00687E65">
          <w:rPr>
            <w:rStyle w:val="Hyperlink"/>
            <w:rFonts w:cstheme="minorHAnsi"/>
          </w:rPr>
          <w:t>https://sui-generis.ch/article/view/sg.232/3168</w:t>
        </w:r>
      </w:hyperlink>
      <w:r w:rsidR="0056222F">
        <w:rPr>
          <w:rFonts w:cstheme="minorHAnsi"/>
          <w:color w:val="000000" w:themeColor="text1"/>
        </w:rPr>
        <w:t xml:space="preserve"> </w:t>
      </w:r>
      <w:r w:rsidRPr="0046220B">
        <w:rPr>
          <w:rFonts w:cstheme="minorHAnsi"/>
          <w:color w:val="000000" w:themeColor="text1"/>
        </w:rPr>
        <w:t>[zuletzt abgerufen am: 23.05.2024].</w:t>
      </w:r>
    </w:p>
    <w:p w14:paraId="666F53EE" w14:textId="6746583C" w:rsidR="003C268C" w:rsidRPr="001674F2" w:rsidRDefault="003C268C" w:rsidP="003C268C">
      <w:pPr>
        <w:spacing w:line="276" w:lineRule="auto"/>
        <w:jc w:val="both"/>
        <w:rPr>
          <w:rFonts w:cstheme="minorHAnsi"/>
          <w:color w:val="000000" w:themeColor="text1"/>
          <w:lang w:val="en-US"/>
        </w:rPr>
      </w:pPr>
      <w:r w:rsidRPr="0046220B">
        <w:rPr>
          <w:rFonts w:cstheme="minorHAnsi"/>
          <w:color w:val="000000" w:themeColor="text1"/>
        </w:rPr>
        <w:t>von Rütte, Barbara</w:t>
      </w:r>
      <w:r w:rsidR="00B565FA">
        <w:rPr>
          <w:rFonts w:cstheme="minorHAnsi"/>
          <w:color w:val="000000" w:themeColor="text1"/>
        </w:rPr>
        <w:t>;</w:t>
      </w:r>
      <w:r w:rsidRPr="0046220B">
        <w:rPr>
          <w:rFonts w:cstheme="minorHAnsi"/>
          <w:color w:val="000000" w:themeColor="text1"/>
        </w:rPr>
        <w:t xml:space="preserve"> Kurt, Stefanie</w:t>
      </w:r>
      <w:r w:rsidR="00D61146">
        <w:rPr>
          <w:rFonts w:cstheme="minorHAnsi"/>
          <w:color w:val="000000" w:themeColor="text1"/>
        </w:rPr>
        <w:t xml:space="preserve">. </w:t>
      </w:r>
      <w:r w:rsidRPr="0046220B">
        <w:rPr>
          <w:rFonts w:cstheme="minorHAnsi"/>
          <w:color w:val="000000" w:themeColor="text1"/>
        </w:rPr>
        <w:t>2016</w:t>
      </w:r>
      <w:r w:rsidR="00305A82">
        <w:rPr>
          <w:rFonts w:cstheme="minorHAnsi"/>
          <w:color w:val="000000" w:themeColor="text1"/>
        </w:rPr>
        <w:t>.</w:t>
      </w:r>
      <w:r w:rsidRPr="0046220B">
        <w:rPr>
          <w:rFonts w:cstheme="minorHAnsi"/>
          <w:color w:val="000000" w:themeColor="text1"/>
        </w:rPr>
        <w:t xml:space="preserve"> </w:t>
      </w:r>
      <w:r w:rsidR="00D61146">
        <w:rPr>
          <w:rFonts w:cstheme="minorHAnsi"/>
          <w:color w:val="000000" w:themeColor="text1"/>
        </w:rPr>
        <w:t>„</w:t>
      </w:r>
      <w:r w:rsidRPr="0046220B">
        <w:rPr>
          <w:rFonts w:cstheme="minorHAnsi"/>
          <w:color w:val="000000" w:themeColor="text1"/>
        </w:rPr>
        <w:t>Ist die Schweiz zum Entzug der Staatsangehörigkeit berechtigt</w:t>
      </w:r>
      <w:r w:rsidR="00D61146">
        <w:rPr>
          <w:rFonts w:cstheme="minorHAnsi"/>
          <w:color w:val="000000" w:themeColor="text1"/>
        </w:rPr>
        <w:t xml:space="preserve">“. </w:t>
      </w:r>
      <w:r w:rsidR="00D61146" w:rsidRPr="001674F2">
        <w:rPr>
          <w:rFonts w:cstheme="minorHAnsi"/>
          <w:color w:val="000000" w:themeColor="text1"/>
          <w:lang w:val="en-US"/>
        </w:rPr>
        <w:t>I</w:t>
      </w:r>
      <w:r w:rsidRPr="001674F2">
        <w:rPr>
          <w:rFonts w:cstheme="minorHAnsi"/>
          <w:color w:val="000000" w:themeColor="text1"/>
          <w:lang w:val="en-US"/>
        </w:rPr>
        <w:t>n Blog nccr on the move vom 31. Mai 2016</w:t>
      </w:r>
    </w:p>
    <w:p w14:paraId="071A6A37" w14:textId="2FED1B51" w:rsidR="00C53073" w:rsidRPr="0046220B" w:rsidRDefault="003C268C" w:rsidP="0046220B">
      <w:pPr>
        <w:spacing w:line="276" w:lineRule="auto"/>
        <w:jc w:val="both"/>
        <w:rPr>
          <w:rFonts w:cstheme="minorHAnsi"/>
          <w:color w:val="000000" w:themeColor="text1"/>
        </w:rPr>
      </w:pPr>
      <w:r w:rsidRPr="00087942">
        <w:rPr>
          <w:rFonts w:cstheme="minorHAnsi"/>
          <w:color w:val="000000" w:themeColor="text1"/>
          <w:lang w:val="en-GB"/>
        </w:rPr>
        <w:t>Walkenhorst, Dennis</w:t>
      </w:r>
      <w:r w:rsidR="00B565FA" w:rsidRPr="00087942">
        <w:rPr>
          <w:rFonts w:cstheme="minorHAnsi"/>
          <w:color w:val="000000" w:themeColor="text1"/>
          <w:lang w:val="en-GB"/>
        </w:rPr>
        <w:t>;</w:t>
      </w:r>
      <w:r w:rsidRPr="00087942">
        <w:rPr>
          <w:rFonts w:cstheme="minorHAnsi"/>
          <w:color w:val="000000" w:themeColor="text1"/>
          <w:lang w:val="en-GB"/>
        </w:rPr>
        <w:t xml:space="preserve"> Ruf, Maximilian</w:t>
      </w:r>
      <w:r w:rsidR="00305A82" w:rsidRPr="00087942">
        <w:rPr>
          <w:rFonts w:cstheme="minorHAnsi"/>
          <w:color w:val="000000" w:themeColor="text1"/>
          <w:lang w:val="en-GB"/>
        </w:rPr>
        <w:t xml:space="preserve">. </w:t>
      </w:r>
      <w:r w:rsidRPr="0046220B">
        <w:rPr>
          <w:rFonts w:cstheme="minorHAnsi"/>
          <w:color w:val="000000" w:themeColor="text1"/>
        </w:rPr>
        <w:t>2018</w:t>
      </w:r>
      <w:r w:rsidR="00305A82">
        <w:rPr>
          <w:rFonts w:cstheme="minorHAnsi"/>
          <w:color w:val="000000" w:themeColor="text1"/>
        </w:rPr>
        <w:t>.</w:t>
      </w:r>
      <w:r w:rsidRPr="0046220B">
        <w:rPr>
          <w:rFonts w:cstheme="minorHAnsi"/>
          <w:color w:val="000000" w:themeColor="text1"/>
        </w:rPr>
        <w:t xml:space="preserve"> </w:t>
      </w:r>
      <w:r w:rsidR="00D61146">
        <w:rPr>
          <w:rFonts w:cstheme="minorHAnsi"/>
          <w:color w:val="000000" w:themeColor="text1"/>
        </w:rPr>
        <w:t>„</w:t>
      </w:r>
      <w:r w:rsidRPr="0046220B">
        <w:rPr>
          <w:rFonts w:cstheme="minorHAnsi"/>
          <w:color w:val="000000" w:themeColor="text1"/>
        </w:rPr>
        <w:t>«Vertrauen ist gut, Kontrolle ist besser»? Sicherheitspolitisches vs. Pädagogisches Handeln in der Extremismusprävention</w:t>
      </w:r>
      <w:r w:rsidR="00D61146">
        <w:rPr>
          <w:rFonts w:cstheme="minorHAnsi"/>
          <w:color w:val="000000" w:themeColor="text1"/>
        </w:rPr>
        <w:t>“</w:t>
      </w:r>
      <w:r w:rsidRPr="0046220B">
        <w:rPr>
          <w:rFonts w:cstheme="minorHAnsi"/>
          <w:color w:val="000000" w:themeColor="text1"/>
        </w:rPr>
        <w:t xml:space="preserve">. Blogreihe Gesellschaft Extrem. URL: </w:t>
      </w:r>
      <w:hyperlink r:id="rId33" w:history="1">
        <w:r w:rsidR="00AB3C52" w:rsidRPr="00687E65">
          <w:rPr>
            <w:rStyle w:val="Hyperlink"/>
            <w:rFonts w:cstheme="minorHAnsi"/>
          </w:rPr>
          <w:t>https://blog.prif.org/2018/05/22/vertrauen-ist-gut-kontrolle-ist-besser-sicherheitspolitisches-vs-paedagogisches-handeln-in-der-extremismuspraevention/</w:t>
        </w:r>
      </w:hyperlink>
      <w:r w:rsidR="00AB3C52">
        <w:rPr>
          <w:rFonts w:cstheme="minorHAnsi"/>
          <w:color w:val="000000" w:themeColor="text1"/>
        </w:rPr>
        <w:t xml:space="preserve"> </w:t>
      </w:r>
      <w:r w:rsidRPr="0046220B">
        <w:rPr>
          <w:rFonts w:cstheme="minorHAnsi"/>
          <w:color w:val="000000" w:themeColor="text1"/>
        </w:rPr>
        <w:t>[zuletzt abgerufen am: 23.05.2024].</w:t>
      </w:r>
      <w:r w:rsidRPr="0046220B">
        <w:rPr>
          <w:rFonts w:cstheme="minorHAnsi"/>
          <w:color w:val="000000" w:themeColor="text1"/>
        </w:rPr>
        <w:br w:type="page"/>
      </w:r>
    </w:p>
    <w:p w14:paraId="356F0960" w14:textId="19CC4649" w:rsidR="0032068A" w:rsidRPr="00CD049E" w:rsidRDefault="00FF0522" w:rsidP="00CD049E">
      <w:pPr>
        <w:rPr>
          <w:bCs/>
          <w:color w:val="016D72"/>
          <w:sz w:val="32"/>
          <w:szCs w:val="32"/>
        </w:rPr>
      </w:pPr>
      <w:r w:rsidRPr="00FF0522">
        <w:rPr>
          <w:bCs/>
          <w:color w:val="016D72"/>
          <w:sz w:val="32"/>
          <w:szCs w:val="32"/>
        </w:rPr>
        <w:lastRenderedPageBreak/>
        <w:t>Christlicher Fundamentalismus in Deutschland: Bestandsaufnahme und pädagogische Implikationen</w:t>
      </w:r>
    </w:p>
    <w:p w14:paraId="7FC7848F" w14:textId="579ADB20" w:rsidR="0032068A" w:rsidRDefault="00FF0522" w:rsidP="0032068A">
      <w:r>
        <w:t>Rahel Sarai Kellich</w:t>
      </w:r>
    </w:p>
    <w:p w14:paraId="5882B9F6" w14:textId="77777777" w:rsidR="00FF0522" w:rsidRDefault="00FF0522" w:rsidP="0032068A"/>
    <w:p w14:paraId="33975FE7" w14:textId="4D743B72" w:rsidR="00A768F4" w:rsidRPr="0032068A" w:rsidRDefault="0032068A" w:rsidP="0032068A">
      <w:pPr>
        <w:rPr>
          <w:rFonts w:asciiTheme="majorHAnsi" w:eastAsiaTheme="majorEastAsia" w:hAnsiTheme="majorHAnsi" w:cstheme="majorBidi"/>
          <w:spacing w:val="-10"/>
          <w:kern w:val="28"/>
          <w:sz w:val="56"/>
          <w:szCs w:val="56"/>
          <w:lang w:val="de-CH"/>
          <w14:ligatures w14:val="standardContextual"/>
        </w:rPr>
      </w:pPr>
      <w:r>
        <w:t>Bd. 4 / Nr. 1 / 2025</w:t>
      </w:r>
      <w:r>
        <w:br w:type="page"/>
      </w:r>
      <w:r w:rsidR="00A768F4" w:rsidRPr="00FF0522">
        <w:rPr>
          <w:bCs/>
          <w:color w:val="016D72"/>
          <w:sz w:val="32"/>
          <w:szCs w:val="32"/>
        </w:rPr>
        <w:lastRenderedPageBreak/>
        <w:t>Christlicher Fundamentalismus in Deutschland:</w:t>
      </w:r>
      <w:r w:rsidR="00853A2C" w:rsidRPr="00FF0522">
        <w:rPr>
          <w:bCs/>
          <w:color w:val="016D72"/>
          <w:sz w:val="32"/>
          <w:szCs w:val="32"/>
        </w:rPr>
        <w:t xml:space="preserve"> </w:t>
      </w:r>
      <w:r w:rsidR="00A768F4" w:rsidRPr="00FF0522">
        <w:rPr>
          <w:bCs/>
          <w:color w:val="016D72"/>
          <w:sz w:val="32"/>
          <w:szCs w:val="32"/>
        </w:rPr>
        <w:t>Bestandsaufnahme und pädagogische Implikationen</w:t>
      </w:r>
    </w:p>
    <w:p w14:paraId="5146EF11" w14:textId="77777777" w:rsidR="00A768F4" w:rsidRPr="00F30AC6" w:rsidRDefault="00A768F4" w:rsidP="00A768F4">
      <w:r>
        <w:rPr>
          <w:b/>
          <w:bCs/>
        </w:rPr>
        <w:t xml:space="preserve">Rahel Sarai Kellich </w:t>
      </w:r>
      <w:r w:rsidRPr="00AB15B8">
        <w:t>– Universität Bielefeld</w:t>
      </w:r>
      <w:r>
        <w:t xml:space="preserve">, Fakultät für Erziehungswissenschaft </w:t>
      </w:r>
      <w:r w:rsidRPr="00AB15B8">
        <w:t>und Vrije Universiteit Amsterdam</w:t>
      </w:r>
      <w:r>
        <w:t xml:space="preserve">, </w:t>
      </w:r>
      <w:r>
        <w:rPr>
          <w:rFonts w:cstheme="minorHAnsi"/>
        </w:rPr>
        <w:t>Fakultät für Religion und Theologie</w:t>
      </w:r>
    </w:p>
    <w:p w14:paraId="294E4A53" w14:textId="15306F84" w:rsidR="00A768F4" w:rsidRPr="00AB15B8" w:rsidRDefault="00A768F4" w:rsidP="00A768F4">
      <w:r w:rsidRPr="00AB15B8">
        <w:t>E-Mail:</w:t>
      </w:r>
      <w:r>
        <w:t xml:space="preserve"> </w:t>
      </w:r>
      <w:hyperlink r:id="rId34" w:history="1">
        <w:r w:rsidR="00092DDA" w:rsidRPr="00092DDA">
          <w:rPr>
            <w:rStyle w:val="Hyperlink"/>
          </w:rPr>
          <w:t>Link öffnet E-Mail an Rahel Kellich</w:t>
        </w:r>
      </w:hyperlink>
      <w:r>
        <w:t xml:space="preserve"> </w:t>
      </w:r>
    </w:p>
    <w:p w14:paraId="3B862240" w14:textId="77777777" w:rsidR="00A768F4" w:rsidRDefault="00A768F4" w:rsidP="00A768F4">
      <w:r>
        <w:t xml:space="preserve">Rahel Sarai Kellich </w:t>
      </w:r>
      <w:r w:rsidRPr="001E15AD">
        <w:t>ist Doktorandin an der Universität Bielefeld und der Vrije Universiteit Amsterdam (</w:t>
      </w:r>
      <w:r w:rsidRPr="001E15AD">
        <w:rPr>
          <w:i/>
          <w:iCs/>
        </w:rPr>
        <w:t>Extreme Beliefs</w:t>
      </w:r>
      <w:r>
        <w:rPr>
          <w:i/>
          <w:iCs/>
        </w:rPr>
        <w:t xml:space="preserve"> Research Group</w:t>
      </w:r>
      <w:r w:rsidRPr="001E15AD">
        <w:t>). Ihre Promotion wird durch die Heinrich-Böll-Stiftung gefördert.</w:t>
      </w:r>
    </w:p>
    <w:p w14:paraId="23DCD1C2" w14:textId="77777777" w:rsidR="00A768F4" w:rsidRPr="00AB15B8" w:rsidRDefault="00A768F4" w:rsidP="00A768F4">
      <w:pPr>
        <w:rPr>
          <w:b/>
          <w:bCs/>
        </w:rPr>
      </w:pPr>
    </w:p>
    <w:p w14:paraId="6967D784" w14:textId="77777777" w:rsidR="00A768F4" w:rsidRPr="007E3CF3" w:rsidRDefault="00A768F4" w:rsidP="00A768F4">
      <w:pPr>
        <w:rPr>
          <w:b/>
        </w:rPr>
      </w:pPr>
      <w:r>
        <w:rPr>
          <w:noProof/>
          <w:lang w:eastAsia="de-DE"/>
        </w:rPr>
        <mc:AlternateContent>
          <mc:Choice Requires="wps">
            <w:drawing>
              <wp:anchor distT="0" distB="0" distL="114300" distR="114300" simplePos="0" relativeHeight="251665414" behindDoc="0" locked="0" layoutInCell="1" allowOverlap="1" wp14:anchorId="42D46C5B" wp14:editId="59154E15">
                <wp:simplePos x="0" y="0"/>
                <wp:positionH relativeFrom="column">
                  <wp:posOffset>-109220</wp:posOffset>
                </wp:positionH>
                <wp:positionV relativeFrom="paragraph">
                  <wp:posOffset>311150</wp:posOffset>
                </wp:positionV>
                <wp:extent cx="6038850" cy="4876800"/>
                <wp:effectExtent l="0" t="0" r="0" b="0"/>
                <wp:wrapNone/>
                <wp:docPr id="1787382284" name="Textfeld 1787382284"/>
                <wp:cNvGraphicFramePr/>
                <a:graphic xmlns:a="http://schemas.openxmlformats.org/drawingml/2006/main">
                  <a:graphicData uri="http://schemas.microsoft.com/office/word/2010/wordprocessingShape">
                    <wps:wsp>
                      <wps:cNvSpPr txBox="1"/>
                      <wps:spPr>
                        <a:xfrm>
                          <a:off x="0" y="0"/>
                          <a:ext cx="6038850" cy="4876800"/>
                        </a:xfrm>
                        <a:prstGeom prst="rect">
                          <a:avLst/>
                        </a:prstGeom>
                        <a:noFill/>
                        <a:ln w="6350">
                          <a:noFill/>
                        </a:ln>
                      </wps:spPr>
                      <wps:txbx>
                        <w:txbxContent>
                          <w:p w14:paraId="3003CC82" w14:textId="77777777" w:rsidR="00A768F4" w:rsidRPr="00496E39" w:rsidRDefault="00A768F4" w:rsidP="00A768F4">
                            <w:pPr>
                              <w:spacing w:line="276" w:lineRule="auto"/>
                              <w:jc w:val="both"/>
                              <w:rPr>
                                <w:rFonts w:cs="Calibri"/>
                              </w:rPr>
                            </w:pPr>
                            <w:r w:rsidRPr="00496E39">
                              <w:rPr>
                                <w:rFonts w:cs="Calibri"/>
                              </w:rPr>
                              <w:t xml:space="preserve">Christlicher Fundamentalismus ist schon lange kein Randthema mehr. In den USA prägen fundamentalistische Akteur:innen zunehmend das gesellschaftliche und politische Bild </w:t>
                            </w:r>
                            <w:r w:rsidRPr="00496E39">
                              <w:rPr>
                                <w:rFonts w:cs="Calibri"/>
                              </w:rPr>
                              <w:fldChar w:fldCharType="begin"/>
                            </w:r>
                            <w:r w:rsidRPr="00496E39">
                              <w:rPr>
                                <w:rFonts w:cs="Calibri"/>
                              </w:rPr>
                              <w:instrText xml:space="preserve"> ADDIN ZOTERO_ITEM CSL_CITATION {"citationID":"8H19rRt2","properties":{"formattedCitation":"(Whitehead u.\\uc0\\u160{}a. 2018)","plainCitation":"(Whitehead u. a. 2018)","noteIndex":0},"citationItems":[{"id":311,"uris":["http://zotero.org/users/14566843/items/CEU8XCIZ"],"itemData":{"id":311,"type":"article-journal","container-title":"Sociology of Religion","DOI":"10.1093/socrel/srx070","ISSN":"1069-4404, 1759-8818","issue":"2","language":"en","license":"https://academic.oup.com/journals/pages/about_us/legal/notices","page":"147-171","source":"DOI.org (Crossref)","title":"Make America Christian Again: Christian Nationalism and Voting for Donald Trump in the 2016 Presidential Election","title-short":"Make America Christian Again","volume":"79","author":[{"family":"Whitehead","given":"Andrew L"},{"family":"Perry","given":"Samuel L"},{"family":"Baker","given":"Joseph O"}],"issued":{"date-parts":[["2018",5,19]]}}}],"schema":"https://github.com/citation-style-language/schema/raw/master/csl-citation.json"} </w:instrText>
                            </w:r>
                            <w:r w:rsidRPr="00496E39">
                              <w:rPr>
                                <w:rFonts w:cs="Calibri"/>
                              </w:rPr>
                              <w:fldChar w:fldCharType="separate"/>
                            </w:r>
                            <w:r w:rsidRPr="00496E39">
                              <w:rPr>
                                <w:rFonts w:cs="Calibri"/>
                              </w:rPr>
                              <w:t>(Whitehead u. a. 2018)</w:t>
                            </w:r>
                            <w:r w:rsidRPr="00496E39">
                              <w:rPr>
                                <w:rFonts w:cs="Calibri"/>
                              </w:rPr>
                              <w:fldChar w:fldCharType="end"/>
                            </w:r>
                            <w:r w:rsidRPr="00496E39">
                              <w:rPr>
                                <w:rFonts w:cs="Calibri"/>
                              </w:rPr>
                              <w:t xml:space="preserve"> und werden interdisziplinär analysiert. In Deutschland hingegen ist die Landschaft christlich-fundamentalistischer Gemeinschaften noch weitgehend unbeleuchtet. Dieser Beitrag untersucht daher zum einen Auftreten und Strukturen christlich-fundamentalistischer Strömungen in Deutschland. Zum anderen nimmt er darauf aufbauend durch einen analytischen Vergleich mit der Situation in den USA pädagogischen Ableitungen vor. Es wird gezeigt, dass christlicher Fundamentalismus in Deutschland besonders in zwei Strömungen zu unterteilen ist;</w:t>
                            </w:r>
                            <w:r w:rsidRPr="00496E39">
                              <w:rPr>
                                <w:rFonts w:cs="Calibri"/>
                                <w:color w:val="000000"/>
                              </w:rPr>
                              <w:t xml:space="preserve"> eine </w:t>
                            </w:r>
                            <w:r w:rsidRPr="00496E39">
                              <w:rPr>
                                <w:rFonts w:cs="Calibri"/>
                              </w:rPr>
                              <w:t>klassisch-fundamentalistische und eine lifestyle-orientierte. Zu</w:t>
                            </w:r>
                            <w:r>
                              <w:rPr>
                                <w:rFonts w:cs="Calibri"/>
                              </w:rPr>
                              <w:t xml:space="preserve">r </w:t>
                            </w:r>
                            <w:r w:rsidRPr="00496E39">
                              <w:rPr>
                                <w:rFonts w:cs="Calibri"/>
                              </w:rPr>
                              <w:t xml:space="preserve">letzteren gehörende Gemeinschaften geben sich trotz rigiden fundamentalistischen Unterbaus modern und anschlussfähig und sprechen darum vor allem junge Menschen an; sowohl innerhalb klassisch-fundamentalistischer Milieus als auch darüber hinaus. Die zunehmende internationale Vernetzung über soziale Medien und sogenannte Christfluencer:innen führt zudem zu einer stärkeren öffentlichen Präsenz fundamentalistischer Narrative. Die Analysen verdeutlichen, dass fundamentalistische Epistemologie und dadurch auch Bildungsstrukturen häufig autoritäre Glaubens- und Führungsprinzipien, eine starke innergemeinschaftliche Fokussierung und Abgrenzung </w:t>
                            </w:r>
                            <w:r w:rsidRPr="00496E39">
                              <w:rPr>
                                <w:rFonts w:cs="Calibri"/>
                              </w:rPr>
                              <w:fldChar w:fldCharType="begin"/>
                            </w:r>
                            <w:r w:rsidRPr="00496E39">
                              <w:rPr>
                                <w:rFonts w:cs="Calibri"/>
                              </w:rPr>
                              <w:instrText xml:space="preserve"> ADDIN ZOTERO_ITEM CSL_CITATION {"citationID":"vCs8HIAb","properties":{"formattedCitation":"(Peels 2023)","plainCitation":"(Peels 2023)","dontUpdate":true,"noteIndex":0},"citationItems":[{"id":96,"uris":["http://zotero.org/users/14566843/items/J42UVP3N"],"itemData":{"id":96,"type":"article-journal","abstract":"Abstract\n            This article combines two things: it explores how one should undertake the project of defining ‘fundamentalism’ and, based on the ensuing desiderata, it actually provides such a definition. After a few preliminary comments on ‘fundamentalism’ and the value of defining it, five goals of definitions are distinguished and elucidated: accuracy, precision, fairness, clarity, and fecundity. After that, various kinds of definitions and their interrelations are spelled out. Finally, the author provides and defends a so-called explicative definition of ‘fundamentalism’ both in terms of necessary and sufficient conditions and in terms of stereotypical properties. On the basis of empirical literature and a scoping review, it is argued that a movement is fundamentalist if and only if it is (i) reactionary towards modern developments, (ii) itself modern, and (iii) based on a grand historical narrative. More specifically, a movement is fundamentalist if it exemplifies a large number of the following properties: (i) it is reactionary in its rejection of liberal ethics, science, or technological exploitation; (ii) it is modern in seeking certainty and control, embracing literalism and infallibility about particular scriptures, actively using media and technology, or making universal claims; and (iii) it presents a grand historical narrative in terms of paradise, fall, and redemption, or cosmic dualism.","container-title":"Religious Studies","DOI":"10.1017/S0034412522000683","ISSN":"0034-4125, 1469-901X","issue":"4","journalAbbreviation":"Rel. Stud.","language":"en","page":"729-747","source":"DOI.org (Crossref)","title":"On defining ‘fundamentalism’","volume":"59","author":[{"family":"Peels","given":"Rik"}],"issued":{"date-parts":[["2023",12]]}}}],"schema":"https://github.com/citation-style-language/schema/raw/master/csl-citation.json"} </w:instrText>
                            </w:r>
                            <w:r w:rsidRPr="00496E39">
                              <w:rPr>
                                <w:rFonts w:cs="Calibri"/>
                              </w:rPr>
                              <w:fldChar w:fldCharType="separate"/>
                            </w:r>
                            <w:r w:rsidRPr="00496E39">
                              <w:rPr>
                                <w:rFonts w:cs="Calibri"/>
                                <w:noProof/>
                              </w:rPr>
                              <w:t>(Peels 2023, 741;</w:t>
                            </w:r>
                            <w:r w:rsidRPr="00496E39">
                              <w:rPr>
                                <w:rFonts w:cs="Calibri"/>
                              </w:rPr>
                              <w:fldChar w:fldCharType="end"/>
                            </w:r>
                            <w:r w:rsidRPr="00496E39">
                              <w:rPr>
                                <w:rFonts w:cs="Calibri"/>
                              </w:rPr>
                              <w:t xml:space="preserve"> </w:t>
                            </w:r>
                            <w:r w:rsidRPr="00496E39">
                              <w:rPr>
                                <w:rFonts w:cs="Calibri"/>
                              </w:rPr>
                              <w:fldChar w:fldCharType="begin"/>
                            </w:r>
                            <w:r w:rsidRPr="00496E39">
                              <w:rPr>
                                <w:rFonts w:cs="Calibri"/>
                              </w:rPr>
                              <w:instrText xml:space="preserve"> ADDIN ZOTERO_ITEM CSL_CITATION {"citationID":"a1ptugk6ar7","properties":{"formattedCitation":"\\uldash{(Sivan 1995)}","plainCitation":"(Sivan 1995)","dontUpdate":true,"noteIndex":0},"citationItems":[{"id":408,"uris":["http://zotero.org/users/14566843/items/QHGQWI4X"],"itemData":{"id":408,"type":"chapter","collection-number":"5","collection-title":"American academy of arts and sciences","container-title":"Fundamentalisms Comprehended, The Fundamentalism Project","event-place":"Chicago","publisher":"University of Chicago Press","publisher-place":"Chicago","title":"The Enclave Culture","author":[{"family":"Sivan","given":"Emmanuel"}],"editor":[{"family":"Appleby,","given":"R. Scott"},{"family":"Marty","given":"Martin E."}],"issued":{"date-parts":[["1995"]]}}}],"schema":"https://github.com/citation-style-language/schema/raw/master/csl-citation.json"} </w:instrText>
                            </w:r>
                            <w:r w:rsidRPr="00496E39">
                              <w:rPr>
                                <w:rFonts w:cs="Calibri"/>
                              </w:rPr>
                              <w:fldChar w:fldCharType="separate"/>
                            </w:r>
                            <w:r w:rsidRPr="00496E39">
                              <w:rPr>
                                <w:rFonts w:cs="Calibri"/>
                              </w:rPr>
                              <w:t>Sivan 1995, 55)</w:t>
                            </w:r>
                            <w:r w:rsidRPr="00496E39">
                              <w:rPr>
                                <w:rFonts w:cs="Calibri"/>
                              </w:rPr>
                              <w:fldChar w:fldCharType="end"/>
                            </w:r>
                            <w:r w:rsidRPr="00496E39">
                              <w:rPr>
                                <w:rFonts w:cs="Calibri"/>
                              </w:rPr>
                              <w:t xml:space="preserve"> sowie die Ablehnung </w:t>
                            </w:r>
                            <w:r w:rsidRPr="000C7FC6">
                              <w:rPr>
                                <w:rFonts w:cs="Calibri"/>
                                <w:i/>
                                <w:iCs/>
                              </w:rPr>
                              <w:t>weltlicher</w:t>
                            </w:r>
                            <w:r w:rsidRPr="00496E39">
                              <w:rPr>
                                <w:rFonts w:cs="Calibri"/>
                              </w:rPr>
                              <w:t xml:space="preserve"> und liberaler Werte, eine starke Komplexitätsreduktion und wissenschaftsskeptische Haltungen </w:t>
                            </w:r>
                            <w:r w:rsidRPr="00496E39">
                              <w:rPr>
                                <w:rFonts w:cs="Calibri"/>
                              </w:rPr>
                              <w:fldChar w:fldCharType="begin"/>
                            </w:r>
                            <w:r w:rsidRPr="00496E39">
                              <w:rPr>
                                <w:rFonts w:cs="Calibri"/>
                              </w:rPr>
                              <w:instrText xml:space="preserve"> ADDIN ZOTERO_ITEM CSL_CITATION {"citationID":"a265u2353u9","properties":{"formattedCitation":"\\uldash{(Evans 2018)}","plainCitation":"(Evans 2018)","dontUpdate":true,"noteIndex":0},"citationItems":[{"id":260,"uris":["http://zotero.org/users/14566843/items/62AMLWT4"],"itemData":{"id":260,"type":"book","abstract":"\"Academics have long claimed that the relationship between religion and science concerns knowledge of the physical world, and that conflict ensues because religion has one way of knowing and science another. For example, it is claimed that to find the age of the Earth religious people look to holy scripture and scien</w:instrText>
                            </w:r>
                            <w:r w:rsidRPr="00E12CC9">
                              <w:rPr>
                                <w:rFonts w:cs="Calibri"/>
                                <w:lang w:val="en-GB"/>
                              </w:rPr>
                              <w:instrText xml:space="preserve">tists look at the age of rocks. This book shows that this is indeed true among the elites who focus on this debate. However, contrary to the assumptions of elites and public discourse in general, that same relationship and conflict does not exist between religious citizens and science. This book shows that regular religious people in the U.S. are at most in conflict over a few fact claims with science, and that this limited conflict does not lead to conflict with scientific claims writ large. More importantly, American religion has changed since the 1960s, de-emphasizing knowledge claims about the physical world, and becoming more focused on social relationships and thus morality. This book shows that any religion and science debate in the public is not about scientific claims about nature, such as the age of the Earth, but rather about morality - and opposition to the morality implicitly promoted by scientists\"--Provided by publisher","call-number":"BL240.3","event-place":"Oakland, California","ISBN":"978-0-520-96978-0","number-of-pages":"1","publisher":"University of California Press","publisher-place":"Oakland, California","source":"Library of Congress ISBN","title":"Morals not knowledge: recasting the contemporary U.S. conflict between religion and science","title-short":"Morals not knowledge","author":[{"family":"Evans","given":"John Hyde"}],"issued":{"date-parts":[["2018"]]}}}],"schema":"https://github.com/citation-style-language/schema/raw/master/csl-citation.json"} </w:instrText>
                            </w:r>
                            <w:r w:rsidRPr="00496E39">
                              <w:rPr>
                                <w:rFonts w:cs="Calibri"/>
                              </w:rPr>
                              <w:fldChar w:fldCharType="separate"/>
                            </w:r>
                            <w:r w:rsidRPr="00E12CC9">
                              <w:rPr>
                                <w:rFonts w:cs="Calibri"/>
                                <w:lang w:val="en-GB"/>
                              </w:rPr>
                              <w:t>(Evans 2018, 163-166;</w:t>
                            </w:r>
                            <w:r w:rsidRPr="00496E39">
                              <w:rPr>
                                <w:rFonts w:cs="Calibri"/>
                              </w:rPr>
                              <w:fldChar w:fldCharType="end"/>
                            </w:r>
                            <w:r w:rsidRPr="00E12CC9">
                              <w:rPr>
                                <w:rFonts w:cs="Calibri"/>
                                <w:lang w:val="en-GB"/>
                              </w:rPr>
                              <w:t xml:space="preserve"> </w:t>
                            </w:r>
                            <w:r w:rsidRPr="00496E39">
                              <w:rPr>
                                <w:rFonts w:cs="Calibri"/>
                              </w:rPr>
                              <w:fldChar w:fldCharType="begin"/>
                            </w:r>
                            <w:r w:rsidRPr="00E12CC9">
                              <w:rPr>
                                <w:rFonts w:cs="Calibri"/>
                                <w:lang w:val="en-GB"/>
                              </w:rPr>
                              <w:instrText xml:space="preserve"> ADDIN ZOTERO_ITEM CSL_CITATION {"citationID":"i2Bq8Lrp","properties":{"formattedCitation":"(Peels 2023)","plainCitation":"(Peels 2023)","dontUpdate":true,"noteIndex":0},"citationItems":[{"id":96,"uris":["http://zotero.org/users/14566843/items/J42UVP3N"],"itemData":{"id":96,"type":"article-journal","abstract":"Abstract\n            This article combines two things: it explores how one should undertake the project of defining ‘fundamentalism’ and, based on the ensuing desiderata, it actually provides such a definition. After a few preliminary comments on ‘fundamentalism’ and the value of defining it, five goals of definitions are distinguished and elucidated: accuracy, precision, fairness, clarity, and fecundity. After that, various kinds of definitions and their interrelations are spelled out. Finally, the author provides and defends a so-called explicative definition of ‘fundamentalism’ both in terms of necessary and sufficient conditions and in terms of stereotypical properties. On the basis of empirical literature and a scoping review, it is argued that a movement is fundamentalist if and only if it is (i) reactionary towards modern developments, (ii) itself modern, and (iii) based on a grand historical narrative. More specifically, a movement is fundamentalist if it exemplifies a large number of the following properties: (i) it is reactionary in its rejection of liberal ethics, science, or technological exploitation; (ii) it is modern in seeking certainty and control, embracing literalism and infallibility about particular scriptures, actively using media and technology, or making universal claims; and (iii) it presents a grand historical narrative in terms of paradise, fall, and redemption, or cosmic dualism.","container-title":"Religious Studies","DOI":"10.1017/S0034412522000683","ISSN":"0034-4125, 1469-901X","issue":"4","journalAbbreviation":"Rel. Stud.","language":"en","page":"729-747","source":"DOI.org (Crossref)","title":"On defining ‘fundamentalism’","volume":"59","author":[{"family":"Peels","given":"Rik"}],"issued":{"date-parts":[["2023",12]]}}}],"schema":"https://github.com/citation-style-language/schema/raw/master/csl-citation.json"} </w:instrText>
                            </w:r>
                            <w:r w:rsidRPr="00496E39">
                              <w:rPr>
                                <w:rFonts w:cs="Calibri"/>
                              </w:rPr>
                              <w:fldChar w:fldCharType="separate"/>
                            </w:r>
                            <w:r w:rsidRPr="00E12CC9">
                              <w:rPr>
                                <w:rFonts w:cs="Calibri"/>
                                <w:noProof/>
                                <w:lang w:val="en-GB"/>
                              </w:rPr>
                              <w:t>Peels 2023, 743)</w:t>
                            </w:r>
                            <w:r w:rsidRPr="00496E39">
                              <w:rPr>
                                <w:rFonts w:cs="Calibri"/>
                              </w:rPr>
                              <w:fldChar w:fldCharType="end"/>
                            </w:r>
                            <w:r w:rsidRPr="00E12CC9">
                              <w:rPr>
                                <w:rFonts w:cs="Calibri"/>
                                <w:lang w:val="en-GB"/>
                              </w:rPr>
                              <w:t xml:space="preserve"> aufweisen. </w:t>
                            </w:r>
                            <w:r w:rsidRPr="002F4E88">
                              <w:rPr>
                                <w:rFonts w:cs="Calibri"/>
                                <w:lang w:val="en-GB"/>
                              </w:rPr>
                              <w:t>Auch wenn sich die Entwicklungen im deutschen Bildungsbereich nicht unmittelbar mit dem US-amerikanischen Kontext vergleichen lassen,</w:t>
                            </w:r>
                            <w:r w:rsidRPr="002F4E88">
                              <w:rPr>
                                <w:rFonts w:cs="Calibri"/>
                                <w:color w:val="000000"/>
                                <w:lang w:val="en-GB"/>
                              </w:rPr>
                              <w:t xml:space="preserve"> </w:t>
                            </w:r>
                            <w:r w:rsidRPr="002F4E88">
                              <w:rPr>
                                <w:rFonts w:cs="Calibri"/>
                                <w:lang w:val="en-GB"/>
                              </w:rPr>
                              <w:t xml:space="preserve">zeigt sich auch in Deutschland ein Gestaltungsanspruch fundamentalistisch geprägter Akteur:innen. </w:t>
                            </w:r>
                            <w:r w:rsidRPr="00496E39">
                              <w:rPr>
                                <w:rFonts w:cs="Calibri"/>
                              </w:rPr>
                              <w:t>Gerade im Kontext demokratischer Bildung wird sichtbar, dass autoritäre Strukturen und geschlossene Weltbilder der Förderung von Autonomie, kritischem Denken und pluralem Dialog entgegenstehen. Im Sinne einer Bildung, die Heranwachsende zu urteilsfähigen und mündigen Bürger:innen befähigen soll, gilt es</w:t>
                            </w:r>
                            <w:r>
                              <w:rPr>
                                <w:rFonts w:cs="Calibri"/>
                              </w:rPr>
                              <w:t>,</w:t>
                            </w:r>
                            <w:r w:rsidRPr="00496E39">
                              <w:rPr>
                                <w:rFonts w:cs="Calibri"/>
                              </w:rPr>
                              <w:t xml:space="preserve"> an dieser Schnittstelle mit christlichem Fundamentalismus verstärkt pädagogische Strategien und Konzepte weiterzuentwickeln.</w:t>
                            </w:r>
                          </w:p>
                          <w:p w14:paraId="1CC9739E" w14:textId="77777777" w:rsidR="00A768F4" w:rsidRPr="007E3CF3" w:rsidRDefault="00A768F4" w:rsidP="00A768F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D46C5B" id="Textfeld 1787382284" o:spid="_x0000_s1028" type="#_x0000_t202" style="position:absolute;margin-left:-8.6pt;margin-top:24.5pt;width:475.5pt;height:384pt;z-index:2516654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bBDGgIAADQEAAAOAAAAZHJzL2Uyb0RvYy54bWysU01vGyEQvVfqf0Dc6107juOuvI7cRK4q&#10;WUkkp8oZs+BFYhkK2Lvur+/A+qtpT1UvMDDDfLz3mN13jSZ74bwCU9LhIKdEGA6VMtuSfn9dfppS&#10;4gMzFdNgREkPwtP7+ccPs9YWYgQ16Eo4gkmML1pb0joEW2SZ57VomB+AFQadElzDAh7dNqscazF7&#10;o7NRnk+yFlxlHXDhPd4+9k46T/mlFDw8S+lFILqk2FtIq0vrJq7ZfMaKrWO2VvzYBvuHLhqmDBY9&#10;p3pkgZGdU3+kahR34EGGAYcmAykVF2kGnGaYv5tmXTMr0iwIjrdnmPz/S8uf9mv74kjovkCHBEZA&#10;WusLj5dxnk66Ju7YKUE/Qng4wya6QDheTvKb6fQWXRx94+ndZJonYLPLc+t8+CqgIdEoqUNeElxs&#10;v/IBS2LoKSRWM7BUWidutCEtlrjB/L958IU2+PDSbLRCt+mIqko6Og2ygeqA8znoqfeWLxX2sGI+&#10;vDCHXGPfqN/wjIvUgLXgaFFSg/v5t/sYjxSgl5IWtVNS/2PHnKBEfzNIzufheBzFlg7j27sRHty1&#10;Z3PtMbvmAVCeQ/wpliczxgd9MqWD5g1lvohV0cUMx9olDSfzIfSKxm/CxWKRglBeloWVWVseU0fs&#10;IsKv3Rtz9khDQAaf4KQyVrxjo4/tUV/sAkiVqIo496ge4UdpJgaP3yhq//qcoi6fff4LAAD//wMA&#10;UEsDBBQABgAIAAAAIQD1qP/H4gAAAAoBAAAPAAAAZHJzL2Rvd25yZXYueG1sTI9BT4NAEIXvJv6H&#10;zZh4axeoWooMTUPSmBg9tPbibWGnQGR3kd226K93POlxMi/vfV++nkwvzjT6zlmEeB6BIFs73dkG&#10;4fC2naUgfFBWq95ZQvgiD+vi+ipXmXYXu6PzPjSCS6zPFEIbwpBJ6euWjPJzN5Dl39GNRgU+x0bq&#10;UV243PQyiaIHaVRneaFVA5Ut1R/7k0F4LrevalclJv3uy6eX42b4PLzfI97eTJtHEIGm8BeGX3xG&#10;h4KZKney2oseYRYvE44i3K3YiQOrxYJdKoQ0XkYgi1z+Vyh+AAAA//8DAFBLAQItABQABgAIAAAA&#10;IQC2gziS/gAAAOEBAAATAAAAAAAAAAAAAAAAAAAAAABbQ29udGVudF9UeXBlc10ueG1sUEsBAi0A&#10;FAAGAAgAAAAhADj9If/WAAAAlAEAAAsAAAAAAAAAAAAAAAAALwEAAF9yZWxzLy5yZWxzUEsBAi0A&#10;FAAGAAgAAAAhAN3dsEMaAgAANAQAAA4AAAAAAAAAAAAAAAAALgIAAGRycy9lMm9Eb2MueG1sUEsB&#10;Ai0AFAAGAAgAAAAhAPWo/8fiAAAACgEAAA8AAAAAAAAAAAAAAAAAdAQAAGRycy9kb3ducmV2Lnht&#10;bFBLBQYAAAAABAAEAPMAAACDBQAAAAA=&#10;" filled="f" stroked="f" strokeweight=".5pt">
                <v:textbox>
                  <w:txbxContent>
                    <w:p w14:paraId="3003CC82" w14:textId="77777777" w:rsidR="00A768F4" w:rsidRPr="00496E39" w:rsidRDefault="00A768F4" w:rsidP="00A768F4">
                      <w:pPr>
                        <w:spacing w:line="276" w:lineRule="auto"/>
                        <w:jc w:val="both"/>
                        <w:rPr>
                          <w:rFonts w:cs="Calibri"/>
                        </w:rPr>
                      </w:pPr>
                      <w:r w:rsidRPr="00496E39">
                        <w:rPr>
                          <w:rFonts w:cs="Calibri"/>
                        </w:rPr>
                        <w:t xml:space="preserve">Christlicher Fundamentalismus ist schon lange kein Randthema mehr. In den USA prägen fundamentalistische Akteur:innen zunehmend das gesellschaftliche und politische Bild </w:t>
                      </w:r>
                      <w:r w:rsidRPr="00496E39">
                        <w:rPr>
                          <w:rFonts w:cs="Calibri"/>
                        </w:rPr>
                        <w:fldChar w:fldCharType="begin"/>
                      </w:r>
                      <w:r w:rsidRPr="00496E39">
                        <w:rPr>
                          <w:rFonts w:cs="Calibri"/>
                        </w:rPr>
                        <w:instrText xml:space="preserve"> ADDIN ZOTERO_ITEM CSL_CITATION {"citationID":"8H19rRt2","properties":{"formattedCitation":"(Whitehead u.\\uc0\\u160{}a. 2018)","plainCitation":"(Whitehead u. a. 2018)","noteIndex":0},"citationItems":[{"id":311,"uris":["http://zotero.org/users/14566843/items/CEU8XCIZ"],"itemData":{"id":311,"type":"article-journal","container-title":"Sociology of Religion","DOI":"10.1093/socrel/srx070","ISSN":"1069-4404, 1759-8818","issue":"2","language":"en","license":"https://academic.oup.com/journals/pages/about_us/legal/notices","page":"147-171","source":"DOI.org (Crossref)","title":"Make America Christian Again: Christian Nationalism and Voting for Donald Trump in the 2016 Presidential Election","title-short":"Make America Christian Again","volume":"79","author":[{"family":"Whitehead","given":"Andrew L"},{"family":"Perry","given":"Samuel L"},{"family":"Baker","given":"Joseph O"}],"issued":{"date-parts":[["2018",5,19]]}}}],"schema":"https://github.com/citation-style-language/schema/raw/master/csl-citation.json"} </w:instrText>
                      </w:r>
                      <w:r w:rsidRPr="00496E39">
                        <w:rPr>
                          <w:rFonts w:cs="Calibri"/>
                        </w:rPr>
                        <w:fldChar w:fldCharType="separate"/>
                      </w:r>
                      <w:r w:rsidRPr="00496E39">
                        <w:rPr>
                          <w:rFonts w:cs="Calibri"/>
                        </w:rPr>
                        <w:t>(Whitehead u. a. 2018)</w:t>
                      </w:r>
                      <w:r w:rsidRPr="00496E39">
                        <w:rPr>
                          <w:rFonts w:cs="Calibri"/>
                        </w:rPr>
                        <w:fldChar w:fldCharType="end"/>
                      </w:r>
                      <w:r w:rsidRPr="00496E39">
                        <w:rPr>
                          <w:rFonts w:cs="Calibri"/>
                        </w:rPr>
                        <w:t xml:space="preserve"> und werden interdisziplinär analysiert. In Deutschland hingegen ist die Landschaft christlich-fundamentalistischer Gemeinschaften noch weitgehend unbeleuchtet. Dieser Beitrag untersucht daher zum einen Auftreten und Strukturen christlich-fundamentalistischer Strömungen in Deutschland. Zum anderen nimmt er darauf aufbauend durch einen analytischen Vergleich mit der Situation in den USA pädagogischen Ableitungen vor. Es wird gezeigt, dass christlicher Fundamentalismus in Deutschland besonders in zwei Strömungen zu unterteilen ist;</w:t>
                      </w:r>
                      <w:r w:rsidRPr="00496E39">
                        <w:rPr>
                          <w:rFonts w:cs="Calibri"/>
                          <w:color w:val="000000"/>
                        </w:rPr>
                        <w:t xml:space="preserve"> eine </w:t>
                      </w:r>
                      <w:r w:rsidRPr="00496E39">
                        <w:rPr>
                          <w:rFonts w:cs="Calibri"/>
                        </w:rPr>
                        <w:t>klassisch-fundamentalistische und eine lifestyle-orientierte. Zu</w:t>
                      </w:r>
                      <w:r>
                        <w:rPr>
                          <w:rFonts w:cs="Calibri"/>
                        </w:rPr>
                        <w:t xml:space="preserve">r </w:t>
                      </w:r>
                      <w:r w:rsidRPr="00496E39">
                        <w:rPr>
                          <w:rFonts w:cs="Calibri"/>
                        </w:rPr>
                        <w:t xml:space="preserve">letzteren gehörende Gemeinschaften geben sich trotz rigiden fundamentalistischen Unterbaus modern und anschlussfähig und sprechen darum vor allem junge Menschen an; sowohl innerhalb klassisch-fundamentalistischer Milieus als auch darüber hinaus. Die zunehmende internationale Vernetzung über soziale Medien und sogenannte Christfluencer:innen führt zudem zu einer stärkeren öffentlichen Präsenz fundamentalistischer Narrative. Die Analysen verdeutlichen, dass fundamentalistische Epistemologie und dadurch auch Bildungsstrukturen häufig autoritäre Glaubens- und Führungsprinzipien, eine starke innergemeinschaftliche Fokussierung und Abgrenzung </w:t>
                      </w:r>
                      <w:r w:rsidRPr="00496E39">
                        <w:rPr>
                          <w:rFonts w:cs="Calibri"/>
                        </w:rPr>
                        <w:fldChar w:fldCharType="begin"/>
                      </w:r>
                      <w:r w:rsidRPr="00496E39">
                        <w:rPr>
                          <w:rFonts w:cs="Calibri"/>
                        </w:rPr>
                        <w:instrText xml:space="preserve"> ADDIN ZOTERO_ITEM CSL_CITATION {"citationID":"vCs8HIAb","properties":{"formattedCitation":"(Peels 2023)","plainCitation":"(Peels 2023)","dontUpdate":true,"noteIndex":0},"citationItems":[{"id":96,"uris":["http://zotero.org/users/14566843/items/J42UVP3N"],"itemData":{"id":96,"type":"article-journal","abstract":"Abstract\n            This article combines two things: it explores how one should undertake the project of defining ‘fundamentalism’ and, based on the ensuing desiderata, it actually provides such a definition. After a few preliminary comments on ‘fundamentalism’ and the value of defining it, five goals of definitions are distinguished and elucidated: accuracy, precision, fairness, clarity, and fecundity. After that, various kinds of definitions and their interrelations are spelled out. Finally, the author provides and defends a so-called explicative definition of ‘fundamentalism’ both in terms of necessary and sufficient conditions and in terms of stereotypical properties. On the basis of empirical literature and a scoping review, it is argued that a movement is fundamentalist if and only if it is (i) reactionary towards modern developments, (ii) itself modern, and (iii) based on a grand historical narrative. More specifically, a movement is fundamentalist if it exemplifies a large number of the following properties: (i) it is reactionary in its rejection of liberal ethics, science, or technological exploitation; (ii) it is modern in seeking certainty and control, embracing literalism and infallibility about particular scriptures, actively using media and technology, or making universal claims; and (iii) it presents a grand historical narrative in terms of paradise, fall, and redemption, or cosmic dualism.","container-title":"Religious Studies","DOI":"10.1017/S0034412522000683","ISSN":"0034-4125, 1469-901X","issue":"4","journalAbbreviation":"Rel. Stud.","language":"en","page":"729-747","source":"DOI.org (Crossref)","title":"On defining ‘fundamentalism’","volume":"59","author":[{"family":"Peels","given":"Rik"}],"issued":{"date-parts":[["2023",12]]}}}],"schema":"https://github.com/citation-style-language/schema/raw/master/csl-citation.json"} </w:instrText>
                      </w:r>
                      <w:r w:rsidRPr="00496E39">
                        <w:rPr>
                          <w:rFonts w:cs="Calibri"/>
                        </w:rPr>
                        <w:fldChar w:fldCharType="separate"/>
                      </w:r>
                      <w:r w:rsidRPr="00496E39">
                        <w:rPr>
                          <w:rFonts w:cs="Calibri"/>
                          <w:noProof/>
                        </w:rPr>
                        <w:t>(Peels 2023, 741;</w:t>
                      </w:r>
                      <w:r w:rsidRPr="00496E39">
                        <w:rPr>
                          <w:rFonts w:cs="Calibri"/>
                        </w:rPr>
                        <w:fldChar w:fldCharType="end"/>
                      </w:r>
                      <w:r w:rsidRPr="00496E39">
                        <w:rPr>
                          <w:rFonts w:cs="Calibri"/>
                        </w:rPr>
                        <w:t xml:space="preserve"> </w:t>
                      </w:r>
                      <w:r w:rsidRPr="00496E39">
                        <w:rPr>
                          <w:rFonts w:cs="Calibri"/>
                        </w:rPr>
                        <w:fldChar w:fldCharType="begin"/>
                      </w:r>
                      <w:r w:rsidRPr="00496E39">
                        <w:rPr>
                          <w:rFonts w:cs="Calibri"/>
                        </w:rPr>
                        <w:instrText xml:space="preserve"> ADDIN ZOTERO_ITEM CSL_CITATION {"citationID":"a1ptugk6ar7","properties":{"formattedCitation":"\\uldash{(Sivan 1995)}","plainCitation":"(Sivan 1995)","dontUpdate":true,"noteIndex":0},"citationItems":[{"id":408,"uris":["http://zotero.org/users/14566843/items/QHGQWI4X"],"itemData":{"id":408,"type":"chapter","collection-number":"5","collection-title":"American academy of arts and sciences","container-title":"Fundamentalisms Comprehended, The Fundamentalism Project","event-place":"Chicago","publisher":"University of Chicago Press","publisher-place":"Chicago","title":"The Enclave Culture","author":[{"family":"Sivan","given":"Emmanuel"}],"editor":[{"family":"Appleby,","given":"R. Scott"},{"family":"Marty","given":"Martin E."}],"issued":{"date-parts":[["1995"]]}}}],"schema":"https://github.com/citation-style-language/schema/raw/master/csl-citation.json"} </w:instrText>
                      </w:r>
                      <w:r w:rsidRPr="00496E39">
                        <w:rPr>
                          <w:rFonts w:cs="Calibri"/>
                        </w:rPr>
                        <w:fldChar w:fldCharType="separate"/>
                      </w:r>
                      <w:r w:rsidRPr="00496E39">
                        <w:rPr>
                          <w:rFonts w:cs="Calibri"/>
                        </w:rPr>
                        <w:t>Sivan 1995, 55)</w:t>
                      </w:r>
                      <w:r w:rsidRPr="00496E39">
                        <w:rPr>
                          <w:rFonts w:cs="Calibri"/>
                        </w:rPr>
                        <w:fldChar w:fldCharType="end"/>
                      </w:r>
                      <w:r w:rsidRPr="00496E39">
                        <w:rPr>
                          <w:rFonts w:cs="Calibri"/>
                        </w:rPr>
                        <w:t xml:space="preserve"> sowie die Ablehnung </w:t>
                      </w:r>
                      <w:r w:rsidRPr="000C7FC6">
                        <w:rPr>
                          <w:rFonts w:cs="Calibri"/>
                          <w:i/>
                          <w:iCs/>
                        </w:rPr>
                        <w:t>weltlicher</w:t>
                      </w:r>
                      <w:r w:rsidRPr="00496E39">
                        <w:rPr>
                          <w:rFonts w:cs="Calibri"/>
                        </w:rPr>
                        <w:t xml:space="preserve"> und liberaler Werte, eine starke Komplexitätsreduktion und wissenschaftsskeptische Haltungen </w:t>
                      </w:r>
                      <w:r w:rsidRPr="00496E39">
                        <w:rPr>
                          <w:rFonts w:cs="Calibri"/>
                        </w:rPr>
                        <w:fldChar w:fldCharType="begin"/>
                      </w:r>
                      <w:r w:rsidRPr="00496E39">
                        <w:rPr>
                          <w:rFonts w:cs="Calibri"/>
                        </w:rPr>
                        <w:instrText xml:space="preserve"> ADDIN ZOTERO_ITEM CSL_CITATION {"citationID":"a265u2353u9","properties":{"formattedCitation":"\\uldash{(Evans 2018)}","plainCitation":"(Evans 2018)","dontUpdate":true,"noteIndex":0},"citationItems":[{"id":260,"uris":["http://zotero.org/users/14566843/items/62AMLWT4"],"itemData":{"id":260,"type":"book","abstract":"\"Academics have long claimed that the relationship between religion and science concerns knowledge of the physical world, and that conflict ensues because religion has one way of knowing and science another. For example, it is claimed that to find the age of the Earth religious people look to holy scripture and scien</w:instrText>
                      </w:r>
                      <w:r w:rsidRPr="00E12CC9">
                        <w:rPr>
                          <w:rFonts w:cs="Calibri"/>
                          <w:lang w:val="en-GB"/>
                        </w:rPr>
                        <w:instrText xml:space="preserve">tists look at the age of rocks. This book shows that this is indeed true among the elites who focus on this debate. However, contrary to the assumptions of elites and public discourse in general, that same relationship and conflict does not exist between religious citizens and science. This book shows that regular religious people in the U.S. are at most in conflict over a few fact claims with science, and that this limited conflict does not lead to conflict with scientific claims writ large. More importantly, American religion has changed since the 1960s, de-emphasizing knowledge claims about the physical world, and becoming more focused on social relationships and thus morality. This book shows that any religion and science debate in the public is not about scientific claims about nature, such as the age of the Earth, but rather about morality - and opposition to the morality implicitly promoted by scientists\"--Provided by publisher","call-number":"BL240.3","event-place":"Oakland, California","ISBN":"978-0-520-96978-0","number-of-pages":"1","publisher":"University of California Press","publisher-place":"Oakland, California","source":"Library of Congress ISBN","title":"Morals not knowledge: recasting the contemporary U.S. conflict between religion and science","title-short":"Morals not knowledge","author":[{"family":"Evans","given":"John Hyde"}],"issued":{"date-parts":[["2018"]]}}}],"schema":"https://github.com/citation-style-language/schema/raw/master/csl-citation.json"} </w:instrText>
                      </w:r>
                      <w:r w:rsidRPr="00496E39">
                        <w:rPr>
                          <w:rFonts w:cs="Calibri"/>
                        </w:rPr>
                        <w:fldChar w:fldCharType="separate"/>
                      </w:r>
                      <w:r w:rsidRPr="00E12CC9">
                        <w:rPr>
                          <w:rFonts w:cs="Calibri"/>
                          <w:lang w:val="en-GB"/>
                        </w:rPr>
                        <w:t>(Evans 2018, 163-166;</w:t>
                      </w:r>
                      <w:r w:rsidRPr="00496E39">
                        <w:rPr>
                          <w:rFonts w:cs="Calibri"/>
                        </w:rPr>
                        <w:fldChar w:fldCharType="end"/>
                      </w:r>
                      <w:r w:rsidRPr="00E12CC9">
                        <w:rPr>
                          <w:rFonts w:cs="Calibri"/>
                          <w:lang w:val="en-GB"/>
                        </w:rPr>
                        <w:t xml:space="preserve"> </w:t>
                      </w:r>
                      <w:r w:rsidRPr="00496E39">
                        <w:rPr>
                          <w:rFonts w:cs="Calibri"/>
                        </w:rPr>
                        <w:fldChar w:fldCharType="begin"/>
                      </w:r>
                      <w:r w:rsidRPr="00E12CC9">
                        <w:rPr>
                          <w:rFonts w:cs="Calibri"/>
                          <w:lang w:val="en-GB"/>
                        </w:rPr>
                        <w:instrText xml:space="preserve"> ADDIN ZOTERO_ITEM CSL_CITATION {"citationID":"i2Bq8Lrp","properties":{"formattedCitation":"(Peels 2023)","plainCitation":"(Peels 2023)","dontUpdate":true,"noteIndex":0},"citationItems":[{"id":96,"uris":["http://zotero.org/users/14566843/items/J42UVP3N"],"itemData":{"id":96,"type":"article-journal","abstract":"Abstract\n            This article combines two things: it explores how one should undertake the project of defining ‘fundamentalism’ and, based on the ensuing desiderata, it actually provides such a definition. After a few preliminary comments on ‘fundamentalism’ and the value of defining it, five goals of definitions are distinguished and elucidated: accuracy, precision, fairness, clarity, and fecundity. After that, various kinds of definitions and their interrelations are spelled out. Finally, the author provides and defends a so-called explicative definition of ‘fundamentalism’ both in terms of necessary and sufficient conditions and in terms of stereotypical properties. On the basis of empirical literature and a scoping review, it is argued that a movement is fundamentalist if and only if it is (i) reactionary towards modern developments, (ii) itself modern, and (iii) based on a grand historical narrative. More specifically, a movement is fundamentalist if it exemplifies a large number of the following properties: (i) it is reactionary in its rejection of liberal ethics, science, or technological exploitation; (ii) it is modern in seeking certainty and control, embracing literalism and infallibility about particular scriptures, actively using media and technology, or making universal claims; and (iii) it presents a grand historical narrative in terms of paradise, fall, and redemption, or cosmic dualism.","container-title":"Religious Studies","DOI":"10.1017/S0034412522000683","ISSN":"0034-4125, 1469-901X","issue":"4","journalAbbreviation":"Rel. Stud.","language":"en","page":"729-747","source":"DOI.org (Crossref)","title":"On defining ‘fundamentalism’","volume":"59","author":[{"family":"Peels","given":"Rik"}],"issued":{"date-parts":[["2023",12]]}}}],"schema":"https://github.com/citation-style-language/schema/raw/master/csl-citation.json"} </w:instrText>
                      </w:r>
                      <w:r w:rsidRPr="00496E39">
                        <w:rPr>
                          <w:rFonts w:cs="Calibri"/>
                        </w:rPr>
                        <w:fldChar w:fldCharType="separate"/>
                      </w:r>
                      <w:r w:rsidRPr="00E12CC9">
                        <w:rPr>
                          <w:rFonts w:cs="Calibri"/>
                          <w:noProof/>
                          <w:lang w:val="en-GB"/>
                        </w:rPr>
                        <w:t>Peels 2023, 743)</w:t>
                      </w:r>
                      <w:r w:rsidRPr="00496E39">
                        <w:rPr>
                          <w:rFonts w:cs="Calibri"/>
                        </w:rPr>
                        <w:fldChar w:fldCharType="end"/>
                      </w:r>
                      <w:r w:rsidRPr="00E12CC9">
                        <w:rPr>
                          <w:rFonts w:cs="Calibri"/>
                          <w:lang w:val="en-GB"/>
                        </w:rPr>
                        <w:t xml:space="preserve"> aufweisen. </w:t>
                      </w:r>
                      <w:r w:rsidRPr="002F4E88">
                        <w:rPr>
                          <w:rFonts w:cs="Calibri"/>
                          <w:lang w:val="en-GB"/>
                        </w:rPr>
                        <w:t>Auch wenn sich die Entwicklungen im deutschen Bildungsbereich nicht unmittelbar mit dem US-amerikanischen Kontext vergleichen lassen,</w:t>
                      </w:r>
                      <w:r w:rsidRPr="002F4E88">
                        <w:rPr>
                          <w:rFonts w:cs="Calibri"/>
                          <w:color w:val="000000"/>
                          <w:lang w:val="en-GB"/>
                        </w:rPr>
                        <w:t xml:space="preserve"> </w:t>
                      </w:r>
                      <w:r w:rsidRPr="002F4E88">
                        <w:rPr>
                          <w:rFonts w:cs="Calibri"/>
                          <w:lang w:val="en-GB"/>
                        </w:rPr>
                        <w:t xml:space="preserve">zeigt sich auch in Deutschland ein Gestaltungsanspruch fundamentalistisch geprägter Akteur:innen. </w:t>
                      </w:r>
                      <w:r w:rsidRPr="00496E39">
                        <w:rPr>
                          <w:rFonts w:cs="Calibri"/>
                        </w:rPr>
                        <w:t>Gerade im Kontext demokratischer Bildung wird sichtbar, dass autoritäre Strukturen und geschlossene Weltbilder der Förderung von Autonomie, kritischem Denken und pluralem Dialog entgegenstehen. Im Sinne einer Bildung, die Heranwachsende zu urteilsfähigen und mündigen Bürger:innen befähigen soll, gilt es</w:t>
                      </w:r>
                      <w:r>
                        <w:rPr>
                          <w:rFonts w:cs="Calibri"/>
                        </w:rPr>
                        <w:t>,</w:t>
                      </w:r>
                      <w:r w:rsidRPr="00496E39">
                        <w:rPr>
                          <w:rFonts w:cs="Calibri"/>
                        </w:rPr>
                        <w:t xml:space="preserve"> an dieser Schnittstelle mit christlichem Fundamentalismus verstärkt pädagogische Strategien und Konzepte weiterzuentwickeln.</w:t>
                      </w:r>
                    </w:p>
                    <w:p w14:paraId="1CC9739E" w14:textId="77777777" w:rsidR="00A768F4" w:rsidRPr="007E3CF3" w:rsidRDefault="00A768F4" w:rsidP="00A768F4"/>
                  </w:txbxContent>
                </v:textbox>
              </v:shape>
            </w:pict>
          </mc:Fallback>
        </mc:AlternateContent>
      </w:r>
      <w:r>
        <w:rPr>
          <w:b/>
        </w:rPr>
        <w:t>Ab</w:t>
      </w:r>
      <w:r w:rsidRPr="007E3CF3">
        <w:rPr>
          <w:b/>
        </w:rPr>
        <w:t>stract</w:t>
      </w:r>
    </w:p>
    <w:p w14:paraId="4FC3CD33" w14:textId="77777777" w:rsidR="00A768F4" w:rsidRDefault="00A768F4" w:rsidP="00A768F4"/>
    <w:p w14:paraId="25A40D19" w14:textId="77777777" w:rsidR="00A768F4" w:rsidRDefault="00A768F4" w:rsidP="00A768F4"/>
    <w:p w14:paraId="21973D51" w14:textId="77777777" w:rsidR="00A768F4" w:rsidRDefault="00A768F4" w:rsidP="00A768F4"/>
    <w:p w14:paraId="42181FF9" w14:textId="77777777" w:rsidR="00A768F4" w:rsidRDefault="00A768F4" w:rsidP="00A768F4"/>
    <w:p w14:paraId="328F5B3D" w14:textId="77777777" w:rsidR="00A768F4" w:rsidRDefault="00A768F4" w:rsidP="00A768F4"/>
    <w:p w14:paraId="40AC0D73" w14:textId="77777777" w:rsidR="00A768F4" w:rsidRDefault="00A768F4" w:rsidP="00A768F4"/>
    <w:p w14:paraId="238CC9E6" w14:textId="77777777" w:rsidR="00A768F4" w:rsidRDefault="00A768F4" w:rsidP="00A768F4"/>
    <w:p w14:paraId="6B2A3D37" w14:textId="77777777" w:rsidR="00A768F4" w:rsidRDefault="00A768F4" w:rsidP="00A768F4"/>
    <w:p w14:paraId="4E7B5DD1" w14:textId="77777777" w:rsidR="00A768F4" w:rsidRDefault="00A768F4" w:rsidP="00A768F4"/>
    <w:p w14:paraId="6DCAF80F" w14:textId="77777777" w:rsidR="00A768F4" w:rsidRDefault="00A768F4" w:rsidP="00A768F4"/>
    <w:p w14:paraId="1E9B4F30" w14:textId="77777777" w:rsidR="00A768F4" w:rsidRDefault="00A768F4" w:rsidP="00A768F4"/>
    <w:p w14:paraId="4739A21A" w14:textId="77777777" w:rsidR="00A768F4" w:rsidRDefault="00A768F4" w:rsidP="00A768F4"/>
    <w:p w14:paraId="090CAC18" w14:textId="77777777" w:rsidR="00A768F4" w:rsidRDefault="00A768F4" w:rsidP="00A768F4">
      <w:pPr>
        <w:rPr>
          <w:b/>
        </w:rPr>
      </w:pPr>
    </w:p>
    <w:p w14:paraId="4632D6BB" w14:textId="77777777" w:rsidR="00A768F4" w:rsidRDefault="00A768F4" w:rsidP="00A768F4">
      <w:pPr>
        <w:rPr>
          <w:b/>
        </w:rPr>
      </w:pPr>
    </w:p>
    <w:p w14:paraId="27649EC0" w14:textId="77777777" w:rsidR="00A768F4" w:rsidRDefault="00A768F4" w:rsidP="00A768F4">
      <w:pPr>
        <w:rPr>
          <w:b/>
        </w:rPr>
      </w:pPr>
    </w:p>
    <w:p w14:paraId="5A2AE4EB" w14:textId="77777777" w:rsidR="00A768F4" w:rsidRDefault="00A768F4" w:rsidP="00A768F4">
      <w:pPr>
        <w:rPr>
          <w:b/>
        </w:rPr>
      </w:pPr>
    </w:p>
    <w:p w14:paraId="3A9CFBEA" w14:textId="77777777" w:rsidR="00A768F4" w:rsidRDefault="00A768F4" w:rsidP="00A768F4">
      <w:pPr>
        <w:rPr>
          <w:b/>
        </w:rPr>
      </w:pPr>
    </w:p>
    <w:p w14:paraId="3379131B" w14:textId="77777777" w:rsidR="00A768F4" w:rsidRDefault="00A768F4" w:rsidP="00A768F4">
      <w:pPr>
        <w:rPr>
          <w:b/>
        </w:rPr>
      </w:pPr>
    </w:p>
    <w:p w14:paraId="46DEB725" w14:textId="77777777" w:rsidR="00A768F4" w:rsidRDefault="00A768F4" w:rsidP="00A768F4">
      <w:pPr>
        <w:rPr>
          <w:b/>
        </w:rPr>
      </w:pPr>
      <w:r>
        <w:rPr>
          <w:b/>
        </w:rPr>
        <w:t xml:space="preserve">Schlagworte: </w:t>
      </w:r>
      <w:r w:rsidRPr="007C1C73">
        <w:rPr>
          <w:rFonts w:cs="Calibri"/>
        </w:rPr>
        <w:t>Christlicher Fundamentalismus; Fundamentalistische Sozialisation; Christlicher Fundamentalismus in Deutschland; Demokratiebildung</w:t>
      </w:r>
    </w:p>
    <w:p w14:paraId="6924D317" w14:textId="77777777" w:rsidR="00A768F4" w:rsidRPr="00AB15B8" w:rsidRDefault="00A768F4" w:rsidP="00A768F4">
      <w:pPr>
        <w:rPr>
          <w:bCs/>
        </w:rPr>
      </w:pPr>
      <w:r w:rsidRPr="007E3CF3">
        <w:rPr>
          <w:b/>
        </w:rPr>
        <w:t>Zitierweise</w:t>
      </w:r>
      <w:r>
        <w:rPr>
          <w:b/>
        </w:rPr>
        <w:t xml:space="preserve">: </w:t>
      </w:r>
      <w:r w:rsidRPr="00AB15B8">
        <w:rPr>
          <w:bCs/>
        </w:rPr>
        <w:t>Kellich, Rahel Sarai. 2025. Christlicher Fundamentalismus in Deutschland: Bestandsaufnahme und pädagogische Implikationen.</w:t>
      </w:r>
      <w:r>
        <w:rPr>
          <w:b/>
        </w:rPr>
        <w:t xml:space="preserve"> </w:t>
      </w:r>
      <w:r>
        <w:rPr>
          <w:bCs/>
          <w:i/>
          <w:iCs/>
        </w:rPr>
        <w:t>ZepRa. Zeitschrift für praxisorientierte (De-) Radikalisierungsforschung</w:t>
      </w:r>
      <w:r>
        <w:rPr>
          <w:bCs/>
        </w:rPr>
        <w:t xml:space="preserve">, Bd. 4, Nr. 1: </w:t>
      </w:r>
      <w:r w:rsidRPr="003137EF">
        <w:rPr>
          <w:bCs/>
        </w:rPr>
        <w:t>36-66.</w:t>
      </w:r>
    </w:p>
    <w:p w14:paraId="44C31297" w14:textId="77777777" w:rsidR="00A768F4" w:rsidRDefault="00A768F4" w:rsidP="00A768F4"/>
    <w:sdt>
      <w:sdtPr>
        <w:rPr>
          <w:rFonts w:asciiTheme="minorHAnsi" w:eastAsiaTheme="minorHAnsi" w:hAnsiTheme="minorHAnsi" w:cstheme="minorBidi"/>
          <w:b w:val="0"/>
          <w:bCs w:val="0"/>
          <w:color w:val="auto"/>
          <w:sz w:val="22"/>
          <w:szCs w:val="22"/>
          <w:lang w:val="de-DE" w:eastAsia="en-US"/>
        </w:rPr>
        <w:id w:val="-669257674"/>
        <w:docPartObj>
          <w:docPartGallery w:val="Table of Contents"/>
          <w:docPartUnique/>
        </w:docPartObj>
      </w:sdtPr>
      <w:sdtContent>
        <w:p w14:paraId="29FEB952" w14:textId="77777777" w:rsidR="00A768F4" w:rsidRPr="00FD62F7" w:rsidRDefault="00A768F4" w:rsidP="00A768F4">
          <w:pPr>
            <w:pStyle w:val="Inhaltsverzeichnisberschrift"/>
            <w:rPr>
              <w:b w:val="0"/>
              <w:bCs w:val="0"/>
              <w:color w:val="016D72"/>
              <w:sz w:val="32"/>
              <w:szCs w:val="32"/>
            </w:rPr>
          </w:pPr>
          <w:r w:rsidRPr="00FD62F7">
            <w:rPr>
              <w:b w:val="0"/>
              <w:bCs w:val="0"/>
              <w:color w:val="016D72"/>
              <w:sz w:val="32"/>
              <w:szCs w:val="32"/>
            </w:rPr>
            <w:t>Inhaltsverzeichnis</w:t>
          </w:r>
        </w:p>
        <w:p w14:paraId="2C18508A" w14:textId="77777777" w:rsidR="00A768F4" w:rsidRPr="00BE6815" w:rsidRDefault="00A768F4" w:rsidP="00A768F4">
          <w:pPr>
            <w:rPr>
              <w:lang w:eastAsia="de-DE"/>
            </w:rPr>
          </w:pPr>
        </w:p>
        <w:p w14:paraId="3BD67821" w14:textId="77777777" w:rsidR="00A768F4" w:rsidRDefault="00A768F4" w:rsidP="00A768F4">
          <w:pPr>
            <w:pStyle w:val="Verzeichnis1"/>
            <w:tabs>
              <w:tab w:val="right" w:leader="dot" w:pos="9062"/>
            </w:tabs>
            <w:rPr>
              <w:rFonts w:eastAsiaTheme="minorEastAsia"/>
              <w:noProof/>
              <w:kern w:val="2"/>
              <w:sz w:val="24"/>
              <w:szCs w:val="24"/>
              <w:lang w:eastAsia="de-DE"/>
            </w:rPr>
          </w:pPr>
          <w:r>
            <w:rPr>
              <w:bCs w:val="0"/>
            </w:rPr>
            <w:fldChar w:fldCharType="begin"/>
          </w:r>
          <w:r>
            <w:instrText xml:space="preserve"> TOC \o "1-3" \h \z \u </w:instrText>
          </w:r>
          <w:r>
            <w:rPr>
              <w:bCs w:val="0"/>
            </w:rPr>
            <w:fldChar w:fldCharType="separate"/>
          </w:r>
          <w:hyperlink w:anchor="_Toc215819932" w:history="1">
            <w:r w:rsidRPr="00745A4A">
              <w:rPr>
                <w:rStyle w:val="Hyperlink"/>
                <w:noProof/>
              </w:rPr>
              <w:t>1. Einleitung</w:t>
            </w:r>
            <w:r>
              <w:rPr>
                <w:noProof/>
                <w:webHidden/>
              </w:rPr>
              <w:tab/>
            </w:r>
            <w:r>
              <w:rPr>
                <w:noProof/>
                <w:webHidden/>
              </w:rPr>
              <w:fldChar w:fldCharType="begin"/>
            </w:r>
            <w:r>
              <w:rPr>
                <w:noProof/>
                <w:webHidden/>
              </w:rPr>
              <w:instrText xml:space="preserve"> PAGEREF _Toc215819932 \h </w:instrText>
            </w:r>
            <w:r>
              <w:rPr>
                <w:noProof/>
                <w:webHidden/>
              </w:rPr>
            </w:r>
            <w:r>
              <w:rPr>
                <w:noProof/>
                <w:webHidden/>
              </w:rPr>
              <w:fldChar w:fldCharType="separate"/>
            </w:r>
            <w:r>
              <w:rPr>
                <w:noProof/>
                <w:webHidden/>
              </w:rPr>
              <w:t>39</w:t>
            </w:r>
            <w:r>
              <w:rPr>
                <w:noProof/>
                <w:webHidden/>
              </w:rPr>
              <w:fldChar w:fldCharType="end"/>
            </w:r>
          </w:hyperlink>
        </w:p>
        <w:p w14:paraId="2DCB5418" w14:textId="77777777" w:rsidR="00A768F4" w:rsidRDefault="00A768F4" w:rsidP="00A768F4">
          <w:pPr>
            <w:pStyle w:val="Verzeichnis1"/>
            <w:tabs>
              <w:tab w:val="right" w:leader="dot" w:pos="9062"/>
            </w:tabs>
            <w:rPr>
              <w:rFonts w:eastAsiaTheme="minorEastAsia"/>
              <w:noProof/>
              <w:kern w:val="2"/>
              <w:sz w:val="24"/>
              <w:szCs w:val="24"/>
              <w:lang w:eastAsia="de-DE"/>
            </w:rPr>
          </w:pPr>
          <w:hyperlink w:anchor="_Toc215819933" w:history="1">
            <w:r w:rsidRPr="00745A4A">
              <w:rPr>
                <w:rStyle w:val="Hyperlink"/>
                <w:noProof/>
              </w:rPr>
              <w:t>2. Fundamentalismus als analytische Kategorie</w:t>
            </w:r>
            <w:r>
              <w:rPr>
                <w:noProof/>
                <w:webHidden/>
              </w:rPr>
              <w:tab/>
            </w:r>
            <w:r>
              <w:rPr>
                <w:noProof/>
                <w:webHidden/>
              </w:rPr>
              <w:fldChar w:fldCharType="begin"/>
            </w:r>
            <w:r>
              <w:rPr>
                <w:noProof/>
                <w:webHidden/>
              </w:rPr>
              <w:instrText xml:space="preserve"> PAGEREF _Toc215819933 \h </w:instrText>
            </w:r>
            <w:r>
              <w:rPr>
                <w:noProof/>
                <w:webHidden/>
              </w:rPr>
            </w:r>
            <w:r>
              <w:rPr>
                <w:noProof/>
                <w:webHidden/>
              </w:rPr>
              <w:fldChar w:fldCharType="separate"/>
            </w:r>
            <w:r>
              <w:rPr>
                <w:noProof/>
                <w:webHidden/>
              </w:rPr>
              <w:t>40</w:t>
            </w:r>
            <w:r>
              <w:rPr>
                <w:noProof/>
                <w:webHidden/>
              </w:rPr>
              <w:fldChar w:fldCharType="end"/>
            </w:r>
          </w:hyperlink>
        </w:p>
        <w:p w14:paraId="6C65E8D8" w14:textId="77777777" w:rsidR="00A768F4" w:rsidRDefault="00A768F4" w:rsidP="00A768F4">
          <w:pPr>
            <w:pStyle w:val="Verzeichnis2"/>
            <w:tabs>
              <w:tab w:val="right" w:leader="dot" w:pos="9062"/>
            </w:tabs>
            <w:rPr>
              <w:rFonts w:eastAsiaTheme="minorEastAsia"/>
              <w:noProof/>
              <w:kern w:val="2"/>
              <w:sz w:val="24"/>
              <w:szCs w:val="24"/>
              <w:lang w:eastAsia="de-DE"/>
              <w14:ligatures w14:val="standardContextual"/>
            </w:rPr>
          </w:pPr>
          <w:hyperlink w:anchor="_Toc215819934" w:history="1">
            <w:r w:rsidRPr="00745A4A">
              <w:rPr>
                <w:rStyle w:val="Hyperlink"/>
                <w:noProof/>
              </w:rPr>
              <w:t>2.1. ‚BicFam‘-Definition</w:t>
            </w:r>
            <w:r>
              <w:rPr>
                <w:noProof/>
                <w:webHidden/>
              </w:rPr>
              <w:tab/>
            </w:r>
            <w:r>
              <w:rPr>
                <w:noProof/>
                <w:webHidden/>
              </w:rPr>
              <w:fldChar w:fldCharType="begin"/>
            </w:r>
            <w:r>
              <w:rPr>
                <w:noProof/>
                <w:webHidden/>
              </w:rPr>
              <w:instrText xml:space="preserve"> PAGEREF _Toc215819934 \h </w:instrText>
            </w:r>
            <w:r>
              <w:rPr>
                <w:noProof/>
                <w:webHidden/>
              </w:rPr>
            </w:r>
            <w:r>
              <w:rPr>
                <w:noProof/>
                <w:webHidden/>
              </w:rPr>
              <w:fldChar w:fldCharType="separate"/>
            </w:r>
            <w:r>
              <w:rPr>
                <w:noProof/>
                <w:webHidden/>
              </w:rPr>
              <w:t>40</w:t>
            </w:r>
            <w:r>
              <w:rPr>
                <w:noProof/>
                <w:webHidden/>
              </w:rPr>
              <w:fldChar w:fldCharType="end"/>
            </w:r>
          </w:hyperlink>
        </w:p>
        <w:p w14:paraId="1CA2954A" w14:textId="77777777" w:rsidR="00A768F4" w:rsidRDefault="00A768F4" w:rsidP="00A768F4">
          <w:pPr>
            <w:pStyle w:val="Verzeichnis2"/>
            <w:tabs>
              <w:tab w:val="right" w:leader="dot" w:pos="9062"/>
            </w:tabs>
            <w:rPr>
              <w:rFonts w:eastAsiaTheme="minorEastAsia"/>
              <w:noProof/>
              <w:kern w:val="2"/>
              <w:sz w:val="24"/>
              <w:szCs w:val="24"/>
              <w:lang w:eastAsia="de-DE"/>
              <w14:ligatures w14:val="standardContextual"/>
            </w:rPr>
          </w:pPr>
          <w:hyperlink w:anchor="_Toc215819935" w:history="1">
            <w:r w:rsidRPr="00745A4A">
              <w:rPr>
                <w:rStyle w:val="Hyperlink"/>
                <w:noProof/>
              </w:rPr>
              <w:t>2.2. Evangelikal oder fundamentalistisch?</w:t>
            </w:r>
            <w:r>
              <w:rPr>
                <w:noProof/>
                <w:webHidden/>
              </w:rPr>
              <w:tab/>
            </w:r>
            <w:r>
              <w:rPr>
                <w:noProof/>
                <w:webHidden/>
              </w:rPr>
              <w:fldChar w:fldCharType="begin"/>
            </w:r>
            <w:r>
              <w:rPr>
                <w:noProof/>
                <w:webHidden/>
              </w:rPr>
              <w:instrText xml:space="preserve"> PAGEREF _Toc215819935 \h </w:instrText>
            </w:r>
            <w:r>
              <w:rPr>
                <w:noProof/>
                <w:webHidden/>
              </w:rPr>
            </w:r>
            <w:r>
              <w:rPr>
                <w:noProof/>
                <w:webHidden/>
              </w:rPr>
              <w:fldChar w:fldCharType="separate"/>
            </w:r>
            <w:r>
              <w:rPr>
                <w:noProof/>
                <w:webHidden/>
              </w:rPr>
              <w:t>43</w:t>
            </w:r>
            <w:r>
              <w:rPr>
                <w:noProof/>
                <w:webHidden/>
              </w:rPr>
              <w:fldChar w:fldCharType="end"/>
            </w:r>
          </w:hyperlink>
        </w:p>
        <w:p w14:paraId="2446043D" w14:textId="77777777" w:rsidR="00A768F4" w:rsidRDefault="00A768F4" w:rsidP="00A768F4">
          <w:pPr>
            <w:pStyle w:val="Verzeichnis1"/>
            <w:tabs>
              <w:tab w:val="right" w:leader="dot" w:pos="9062"/>
            </w:tabs>
            <w:rPr>
              <w:rFonts w:eastAsiaTheme="minorEastAsia"/>
              <w:noProof/>
              <w:kern w:val="2"/>
              <w:sz w:val="24"/>
              <w:szCs w:val="24"/>
              <w:lang w:eastAsia="de-DE"/>
            </w:rPr>
          </w:pPr>
          <w:hyperlink w:anchor="_Toc215819936" w:history="1">
            <w:r w:rsidRPr="00745A4A">
              <w:rPr>
                <w:rStyle w:val="Hyperlink"/>
                <w:noProof/>
              </w:rPr>
              <w:t>3. Analytischer Vergleichsrahmen</w:t>
            </w:r>
            <w:r>
              <w:rPr>
                <w:noProof/>
                <w:webHidden/>
              </w:rPr>
              <w:tab/>
            </w:r>
            <w:r>
              <w:rPr>
                <w:noProof/>
                <w:webHidden/>
              </w:rPr>
              <w:fldChar w:fldCharType="begin"/>
            </w:r>
            <w:r>
              <w:rPr>
                <w:noProof/>
                <w:webHidden/>
              </w:rPr>
              <w:instrText xml:space="preserve"> PAGEREF _Toc215819936 \h </w:instrText>
            </w:r>
            <w:r>
              <w:rPr>
                <w:noProof/>
                <w:webHidden/>
              </w:rPr>
            </w:r>
            <w:r>
              <w:rPr>
                <w:noProof/>
                <w:webHidden/>
              </w:rPr>
              <w:fldChar w:fldCharType="separate"/>
            </w:r>
            <w:r>
              <w:rPr>
                <w:noProof/>
                <w:webHidden/>
              </w:rPr>
              <w:t>43</w:t>
            </w:r>
            <w:r>
              <w:rPr>
                <w:noProof/>
                <w:webHidden/>
              </w:rPr>
              <w:fldChar w:fldCharType="end"/>
            </w:r>
          </w:hyperlink>
        </w:p>
        <w:p w14:paraId="2D1D4F29" w14:textId="77777777" w:rsidR="00A768F4" w:rsidRDefault="00A768F4" w:rsidP="00A768F4">
          <w:pPr>
            <w:pStyle w:val="Verzeichnis1"/>
            <w:tabs>
              <w:tab w:val="right" w:leader="dot" w:pos="9062"/>
            </w:tabs>
            <w:rPr>
              <w:rFonts w:eastAsiaTheme="minorEastAsia"/>
              <w:noProof/>
              <w:kern w:val="2"/>
              <w:sz w:val="24"/>
              <w:szCs w:val="24"/>
              <w:lang w:eastAsia="de-DE"/>
            </w:rPr>
          </w:pPr>
          <w:hyperlink w:anchor="_Toc215819937" w:history="1">
            <w:r w:rsidRPr="00745A4A">
              <w:rPr>
                <w:rStyle w:val="Hyperlink"/>
                <w:noProof/>
              </w:rPr>
              <w:t>4. Vergleichende Perspektive USA</w:t>
            </w:r>
            <w:r>
              <w:rPr>
                <w:noProof/>
                <w:webHidden/>
              </w:rPr>
              <w:tab/>
            </w:r>
            <w:r>
              <w:rPr>
                <w:noProof/>
                <w:webHidden/>
              </w:rPr>
              <w:fldChar w:fldCharType="begin"/>
            </w:r>
            <w:r>
              <w:rPr>
                <w:noProof/>
                <w:webHidden/>
              </w:rPr>
              <w:instrText xml:space="preserve"> PAGEREF _Toc215819937 \h </w:instrText>
            </w:r>
            <w:r>
              <w:rPr>
                <w:noProof/>
                <w:webHidden/>
              </w:rPr>
            </w:r>
            <w:r>
              <w:rPr>
                <w:noProof/>
                <w:webHidden/>
              </w:rPr>
              <w:fldChar w:fldCharType="separate"/>
            </w:r>
            <w:r>
              <w:rPr>
                <w:noProof/>
                <w:webHidden/>
              </w:rPr>
              <w:t>44</w:t>
            </w:r>
            <w:r>
              <w:rPr>
                <w:noProof/>
                <w:webHidden/>
              </w:rPr>
              <w:fldChar w:fldCharType="end"/>
            </w:r>
          </w:hyperlink>
        </w:p>
        <w:p w14:paraId="587297CF" w14:textId="77777777" w:rsidR="00A768F4" w:rsidRDefault="00A768F4" w:rsidP="00A768F4">
          <w:pPr>
            <w:pStyle w:val="Verzeichnis2"/>
            <w:tabs>
              <w:tab w:val="right" w:leader="dot" w:pos="9062"/>
            </w:tabs>
            <w:rPr>
              <w:rFonts w:eastAsiaTheme="minorEastAsia"/>
              <w:noProof/>
              <w:kern w:val="2"/>
              <w:sz w:val="24"/>
              <w:szCs w:val="24"/>
              <w:lang w:eastAsia="de-DE"/>
              <w14:ligatures w14:val="standardContextual"/>
            </w:rPr>
          </w:pPr>
          <w:hyperlink w:anchor="_Toc215819938" w:history="1">
            <w:r w:rsidRPr="00745A4A">
              <w:rPr>
                <w:rStyle w:val="Hyperlink"/>
                <w:noProof/>
              </w:rPr>
              <w:t>4.1. Historisch-theologische Dimension</w:t>
            </w:r>
            <w:r>
              <w:rPr>
                <w:noProof/>
                <w:webHidden/>
              </w:rPr>
              <w:tab/>
            </w:r>
            <w:r>
              <w:rPr>
                <w:noProof/>
                <w:webHidden/>
              </w:rPr>
              <w:fldChar w:fldCharType="begin"/>
            </w:r>
            <w:r>
              <w:rPr>
                <w:noProof/>
                <w:webHidden/>
              </w:rPr>
              <w:instrText xml:space="preserve"> PAGEREF _Toc215819938 \h </w:instrText>
            </w:r>
            <w:r>
              <w:rPr>
                <w:noProof/>
                <w:webHidden/>
              </w:rPr>
            </w:r>
            <w:r>
              <w:rPr>
                <w:noProof/>
                <w:webHidden/>
              </w:rPr>
              <w:fldChar w:fldCharType="separate"/>
            </w:r>
            <w:r>
              <w:rPr>
                <w:noProof/>
                <w:webHidden/>
              </w:rPr>
              <w:t>44</w:t>
            </w:r>
            <w:r>
              <w:rPr>
                <w:noProof/>
                <w:webHidden/>
              </w:rPr>
              <w:fldChar w:fldCharType="end"/>
            </w:r>
          </w:hyperlink>
        </w:p>
        <w:p w14:paraId="3F36B7B7" w14:textId="77777777" w:rsidR="00A768F4" w:rsidRDefault="00A768F4" w:rsidP="00A768F4">
          <w:pPr>
            <w:pStyle w:val="Verzeichnis2"/>
            <w:tabs>
              <w:tab w:val="right" w:leader="dot" w:pos="9062"/>
            </w:tabs>
            <w:rPr>
              <w:rFonts w:eastAsiaTheme="minorEastAsia"/>
              <w:noProof/>
              <w:kern w:val="2"/>
              <w:sz w:val="24"/>
              <w:szCs w:val="24"/>
              <w:lang w:eastAsia="de-DE"/>
              <w14:ligatures w14:val="standardContextual"/>
            </w:rPr>
          </w:pPr>
          <w:hyperlink w:anchor="_Toc215819939" w:history="1">
            <w:r w:rsidRPr="00745A4A">
              <w:rPr>
                <w:rStyle w:val="Hyperlink"/>
                <w:noProof/>
              </w:rPr>
              <w:t>4.2. Gesellschaftlich-politische Dimension</w:t>
            </w:r>
            <w:r>
              <w:rPr>
                <w:noProof/>
                <w:webHidden/>
              </w:rPr>
              <w:tab/>
            </w:r>
            <w:r>
              <w:rPr>
                <w:noProof/>
                <w:webHidden/>
              </w:rPr>
              <w:fldChar w:fldCharType="begin"/>
            </w:r>
            <w:r>
              <w:rPr>
                <w:noProof/>
                <w:webHidden/>
              </w:rPr>
              <w:instrText xml:space="preserve"> PAGEREF _Toc215819939 \h </w:instrText>
            </w:r>
            <w:r>
              <w:rPr>
                <w:noProof/>
                <w:webHidden/>
              </w:rPr>
            </w:r>
            <w:r>
              <w:rPr>
                <w:noProof/>
                <w:webHidden/>
              </w:rPr>
              <w:fldChar w:fldCharType="separate"/>
            </w:r>
            <w:r>
              <w:rPr>
                <w:noProof/>
                <w:webHidden/>
              </w:rPr>
              <w:t>44</w:t>
            </w:r>
            <w:r>
              <w:rPr>
                <w:noProof/>
                <w:webHidden/>
              </w:rPr>
              <w:fldChar w:fldCharType="end"/>
            </w:r>
          </w:hyperlink>
        </w:p>
        <w:p w14:paraId="3132C751" w14:textId="77777777" w:rsidR="00A768F4" w:rsidRDefault="00A768F4" w:rsidP="00A768F4">
          <w:pPr>
            <w:pStyle w:val="Verzeichnis2"/>
            <w:tabs>
              <w:tab w:val="right" w:leader="dot" w:pos="9062"/>
            </w:tabs>
            <w:rPr>
              <w:rFonts w:eastAsiaTheme="minorEastAsia"/>
              <w:noProof/>
              <w:kern w:val="2"/>
              <w:sz w:val="24"/>
              <w:szCs w:val="24"/>
              <w:lang w:eastAsia="de-DE"/>
              <w14:ligatures w14:val="standardContextual"/>
            </w:rPr>
          </w:pPr>
          <w:hyperlink w:anchor="_Toc215819940" w:history="1">
            <w:r w:rsidRPr="00745A4A">
              <w:rPr>
                <w:rStyle w:val="Hyperlink"/>
                <w:noProof/>
              </w:rPr>
              <w:t>4.3. Pädagogische Dimension</w:t>
            </w:r>
            <w:r>
              <w:rPr>
                <w:noProof/>
                <w:webHidden/>
              </w:rPr>
              <w:tab/>
            </w:r>
            <w:r>
              <w:rPr>
                <w:noProof/>
                <w:webHidden/>
              </w:rPr>
              <w:fldChar w:fldCharType="begin"/>
            </w:r>
            <w:r>
              <w:rPr>
                <w:noProof/>
                <w:webHidden/>
              </w:rPr>
              <w:instrText xml:space="preserve"> PAGEREF _Toc215819940 \h </w:instrText>
            </w:r>
            <w:r>
              <w:rPr>
                <w:noProof/>
                <w:webHidden/>
              </w:rPr>
            </w:r>
            <w:r>
              <w:rPr>
                <w:noProof/>
                <w:webHidden/>
              </w:rPr>
              <w:fldChar w:fldCharType="separate"/>
            </w:r>
            <w:r>
              <w:rPr>
                <w:noProof/>
                <w:webHidden/>
              </w:rPr>
              <w:t>45</w:t>
            </w:r>
            <w:r>
              <w:rPr>
                <w:noProof/>
                <w:webHidden/>
              </w:rPr>
              <w:fldChar w:fldCharType="end"/>
            </w:r>
          </w:hyperlink>
        </w:p>
        <w:p w14:paraId="04152E1E" w14:textId="77777777" w:rsidR="00A768F4" w:rsidRDefault="00A768F4" w:rsidP="00A768F4">
          <w:pPr>
            <w:pStyle w:val="Verzeichnis1"/>
            <w:tabs>
              <w:tab w:val="right" w:leader="dot" w:pos="9062"/>
            </w:tabs>
            <w:rPr>
              <w:rFonts w:eastAsiaTheme="minorEastAsia"/>
              <w:noProof/>
              <w:kern w:val="2"/>
              <w:sz w:val="24"/>
              <w:szCs w:val="24"/>
              <w:lang w:eastAsia="de-DE"/>
            </w:rPr>
          </w:pPr>
          <w:hyperlink w:anchor="_Toc215819941" w:history="1">
            <w:r w:rsidRPr="00745A4A">
              <w:rPr>
                <w:rStyle w:val="Hyperlink"/>
                <w:noProof/>
              </w:rPr>
              <w:t>5. Typen des christlichen Fundamentalismus in Deutschland</w:t>
            </w:r>
            <w:r>
              <w:rPr>
                <w:noProof/>
                <w:webHidden/>
              </w:rPr>
              <w:tab/>
            </w:r>
            <w:r>
              <w:rPr>
                <w:noProof/>
                <w:webHidden/>
              </w:rPr>
              <w:fldChar w:fldCharType="begin"/>
            </w:r>
            <w:r>
              <w:rPr>
                <w:noProof/>
                <w:webHidden/>
              </w:rPr>
              <w:instrText xml:space="preserve"> PAGEREF _Toc215819941 \h </w:instrText>
            </w:r>
            <w:r>
              <w:rPr>
                <w:noProof/>
                <w:webHidden/>
              </w:rPr>
            </w:r>
            <w:r>
              <w:rPr>
                <w:noProof/>
                <w:webHidden/>
              </w:rPr>
              <w:fldChar w:fldCharType="separate"/>
            </w:r>
            <w:r>
              <w:rPr>
                <w:noProof/>
                <w:webHidden/>
              </w:rPr>
              <w:t>47</w:t>
            </w:r>
            <w:r>
              <w:rPr>
                <w:noProof/>
                <w:webHidden/>
              </w:rPr>
              <w:fldChar w:fldCharType="end"/>
            </w:r>
          </w:hyperlink>
        </w:p>
        <w:p w14:paraId="3B96F783" w14:textId="77777777" w:rsidR="00A768F4" w:rsidRDefault="00A768F4" w:rsidP="00A768F4">
          <w:pPr>
            <w:pStyle w:val="Verzeichnis2"/>
            <w:tabs>
              <w:tab w:val="right" w:leader="dot" w:pos="9062"/>
            </w:tabs>
            <w:rPr>
              <w:rFonts w:eastAsiaTheme="minorEastAsia"/>
              <w:noProof/>
              <w:kern w:val="2"/>
              <w:sz w:val="24"/>
              <w:szCs w:val="24"/>
              <w:lang w:eastAsia="de-DE"/>
              <w14:ligatures w14:val="standardContextual"/>
            </w:rPr>
          </w:pPr>
          <w:hyperlink w:anchor="_Toc215819942" w:history="1">
            <w:r w:rsidRPr="00745A4A">
              <w:rPr>
                <w:rStyle w:val="Hyperlink"/>
                <w:noProof/>
              </w:rPr>
              <w:t>5.1. Etablierte Gemeinschaften</w:t>
            </w:r>
            <w:r>
              <w:rPr>
                <w:noProof/>
                <w:webHidden/>
              </w:rPr>
              <w:tab/>
            </w:r>
            <w:r>
              <w:rPr>
                <w:noProof/>
                <w:webHidden/>
              </w:rPr>
              <w:fldChar w:fldCharType="begin"/>
            </w:r>
            <w:r>
              <w:rPr>
                <w:noProof/>
                <w:webHidden/>
              </w:rPr>
              <w:instrText xml:space="preserve"> PAGEREF _Toc215819942 \h </w:instrText>
            </w:r>
            <w:r>
              <w:rPr>
                <w:noProof/>
                <w:webHidden/>
              </w:rPr>
            </w:r>
            <w:r>
              <w:rPr>
                <w:noProof/>
                <w:webHidden/>
              </w:rPr>
              <w:fldChar w:fldCharType="separate"/>
            </w:r>
            <w:r>
              <w:rPr>
                <w:noProof/>
                <w:webHidden/>
              </w:rPr>
              <w:t>48</w:t>
            </w:r>
            <w:r>
              <w:rPr>
                <w:noProof/>
                <w:webHidden/>
              </w:rPr>
              <w:fldChar w:fldCharType="end"/>
            </w:r>
          </w:hyperlink>
        </w:p>
        <w:p w14:paraId="29A2226D" w14:textId="77777777" w:rsidR="00A768F4" w:rsidRDefault="00A768F4" w:rsidP="00A768F4">
          <w:pPr>
            <w:pStyle w:val="Verzeichnis2"/>
            <w:tabs>
              <w:tab w:val="right" w:leader="dot" w:pos="9062"/>
            </w:tabs>
            <w:rPr>
              <w:rFonts w:eastAsiaTheme="minorEastAsia"/>
              <w:noProof/>
              <w:kern w:val="2"/>
              <w:sz w:val="24"/>
              <w:szCs w:val="24"/>
              <w:lang w:eastAsia="de-DE"/>
              <w14:ligatures w14:val="standardContextual"/>
            </w:rPr>
          </w:pPr>
          <w:hyperlink w:anchor="_Toc215819943" w:history="1">
            <w:r w:rsidRPr="00745A4A">
              <w:rPr>
                <w:rStyle w:val="Hyperlink"/>
                <w:noProof/>
              </w:rPr>
              <w:t>5.2. Neue Bewegungen</w:t>
            </w:r>
            <w:r>
              <w:rPr>
                <w:noProof/>
                <w:webHidden/>
              </w:rPr>
              <w:tab/>
            </w:r>
            <w:r>
              <w:rPr>
                <w:noProof/>
                <w:webHidden/>
              </w:rPr>
              <w:fldChar w:fldCharType="begin"/>
            </w:r>
            <w:r>
              <w:rPr>
                <w:noProof/>
                <w:webHidden/>
              </w:rPr>
              <w:instrText xml:space="preserve"> PAGEREF _Toc215819943 \h </w:instrText>
            </w:r>
            <w:r>
              <w:rPr>
                <w:noProof/>
                <w:webHidden/>
              </w:rPr>
            </w:r>
            <w:r>
              <w:rPr>
                <w:noProof/>
                <w:webHidden/>
              </w:rPr>
              <w:fldChar w:fldCharType="separate"/>
            </w:r>
            <w:r>
              <w:rPr>
                <w:noProof/>
                <w:webHidden/>
              </w:rPr>
              <w:t>50</w:t>
            </w:r>
            <w:r>
              <w:rPr>
                <w:noProof/>
                <w:webHidden/>
              </w:rPr>
              <w:fldChar w:fldCharType="end"/>
            </w:r>
          </w:hyperlink>
        </w:p>
        <w:p w14:paraId="4C0F6E2A" w14:textId="77777777" w:rsidR="00A768F4" w:rsidRDefault="00A768F4" w:rsidP="00A768F4">
          <w:pPr>
            <w:pStyle w:val="Verzeichnis2"/>
            <w:tabs>
              <w:tab w:val="right" w:leader="dot" w:pos="9062"/>
            </w:tabs>
            <w:rPr>
              <w:rFonts w:eastAsiaTheme="minorEastAsia"/>
              <w:noProof/>
              <w:kern w:val="2"/>
              <w:sz w:val="24"/>
              <w:szCs w:val="24"/>
              <w:lang w:eastAsia="de-DE"/>
              <w14:ligatures w14:val="standardContextual"/>
            </w:rPr>
          </w:pPr>
          <w:hyperlink w:anchor="_Toc215819944" w:history="1">
            <w:r w:rsidRPr="00745A4A">
              <w:rPr>
                <w:rStyle w:val="Hyperlink"/>
                <w:noProof/>
              </w:rPr>
              <w:t>5.3. Ableitungen für den deutschen Kontext</w:t>
            </w:r>
            <w:r>
              <w:rPr>
                <w:noProof/>
                <w:webHidden/>
              </w:rPr>
              <w:tab/>
            </w:r>
            <w:r>
              <w:rPr>
                <w:noProof/>
                <w:webHidden/>
              </w:rPr>
              <w:fldChar w:fldCharType="begin"/>
            </w:r>
            <w:r>
              <w:rPr>
                <w:noProof/>
                <w:webHidden/>
              </w:rPr>
              <w:instrText xml:space="preserve"> PAGEREF _Toc215819944 \h </w:instrText>
            </w:r>
            <w:r>
              <w:rPr>
                <w:noProof/>
                <w:webHidden/>
              </w:rPr>
            </w:r>
            <w:r>
              <w:rPr>
                <w:noProof/>
                <w:webHidden/>
              </w:rPr>
              <w:fldChar w:fldCharType="separate"/>
            </w:r>
            <w:r>
              <w:rPr>
                <w:noProof/>
                <w:webHidden/>
              </w:rPr>
              <w:t>51</w:t>
            </w:r>
            <w:r>
              <w:rPr>
                <w:noProof/>
                <w:webHidden/>
              </w:rPr>
              <w:fldChar w:fldCharType="end"/>
            </w:r>
          </w:hyperlink>
        </w:p>
        <w:p w14:paraId="07020E70" w14:textId="77777777" w:rsidR="00A768F4" w:rsidRDefault="00A768F4" w:rsidP="00A768F4">
          <w:pPr>
            <w:pStyle w:val="Verzeichnis3"/>
            <w:tabs>
              <w:tab w:val="right" w:leader="dot" w:pos="9062"/>
            </w:tabs>
            <w:rPr>
              <w:rFonts w:eastAsiaTheme="minorEastAsia"/>
              <w:noProof/>
              <w:kern w:val="2"/>
              <w:sz w:val="24"/>
              <w:szCs w:val="24"/>
              <w:lang w:eastAsia="de-DE"/>
              <w14:ligatures w14:val="standardContextual"/>
            </w:rPr>
          </w:pPr>
          <w:hyperlink w:anchor="_Toc215819945" w:history="1">
            <w:r w:rsidRPr="00745A4A">
              <w:rPr>
                <w:rStyle w:val="Hyperlink"/>
                <w:noProof/>
              </w:rPr>
              <w:t>5.3.1. Historisch-theologische Dimension</w:t>
            </w:r>
            <w:r>
              <w:rPr>
                <w:noProof/>
                <w:webHidden/>
              </w:rPr>
              <w:tab/>
            </w:r>
            <w:r>
              <w:rPr>
                <w:noProof/>
                <w:webHidden/>
              </w:rPr>
              <w:fldChar w:fldCharType="begin"/>
            </w:r>
            <w:r>
              <w:rPr>
                <w:noProof/>
                <w:webHidden/>
              </w:rPr>
              <w:instrText xml:space="preserve"> PAGEREF _Toc215819945 \h </w:instrText>
            </w:r>
            <w:r>
              <w:rPr>
                <w:noProof/>
                <w:webHidden/>
              </w:rPr>
            </w:r>
            <w:r>
              <w:rPr>
                <w:noProof/>
                <w:webHidden/>
              </w:rPr>
              <w:fldChar w:fldCharType="separate"/>
            </w:r>
            <w:r>
              <w:rPr>
                <w:noProof/>
                <w:webHidden/>
              </w:rPr>
              <w:t>52</w:t>
            </w:r>
            <w:r>
              <w:rPr>
                <w:noProof/>
                <w:webHidden/>
              </w:rPr>
              <w:fldChar w:fldCharType="end"/>
            </w:r>
          </w:hyperlink>
        </w:p>
        <w:p w14:paraId="74F0959B" w14:textId="77777777" w:rsidR="00A768F4" w:rsidRDefault="00A768F4" w:rsidP="00A768F4">
          <w:pPr>
            <w:pStyle w:val="Verzeichnis3"/>
            <w:tabs>
              <w:tab w:val="right" w:leader="dot" w:pos="9062"/>
            </w:tabs>
            <w:rPr>
              <w:rFonts w:eastAsiaTheme="minorEastAsia"/>
              <w:noProof/>
              <w:kern w:val="2"/>
              <w:sz w:val="24"/>
              <w:szCs w:val="24"/>
              <w:lang w:eastAsia="de-DE"/>
              <w14:ligatures w14:val="standardContextual"/>
            </w:rPr>
          </w:pPr>
          <w:hyperlink w:anchor="_Toc215819946" w:history="1">
            <w:r w:rsidRPr="00745A4A">
              <w:rPr>
                <w:rStyle w:val="Hyperlink"/>
                <w:noProof/>
              </w:rPr>
              <w:t>5.3.2. Gesellschaftlich-politische Dimension</w:t>
            </w:r>
            <w:r>
              <w:rPr>
                <w:noProof/>
                <w:webHidden/>
              </w:rPr>
              <w:tab/>
            </w:r>
            <w:r>
              <w:rPr>
                <w:noProof/>
                <w:webHidden/>
              </w:rPr>
              <w:fldChar w:fldCharType="begin"/>
            </w:r>
            <w:r>
              <w:rPr>
                <w:noProof/>
                <w:webHidden/>
              </w:rPr>
              <w:instrText xml:space="preserve"> PAGEREF _Toc215819946 \h </w:instrText>
            </w:r>
            <w:r>
              <w:rPr>
                <w:noProof/>
                <w:webHidden/>
              </w:rPr>
            </w:r>
            <w:r>
              <w:rPr>
                <w:noProof/>
                <w:webHidden/>
              </w:rPr>
              <w:fldChar w:fldCharType="separate"/>
            </w:r>
            <w:r>
              <w:rPr>
                <w:noProof/>
                <w:webHidden/>
              </w:rPr>
              <w:t>52</w:t>
            </w:r>
            <w:r>
              <w:rPr>
                <w:noProof/>
                <w:webHidden/>
              </w:rPr>
              <w:fldChar w:fldCharType="end"/>
            </w:r>
          </w:hyperlink>
        </w:p>
        <w:p w14:paraId="4CA860FB" w14:textId="77777777" w:rsidR="00A768F4" w:rsidRDefault="00A768F4" w:rsidP="00A768F4">
          <w:pPr>
            <w:pStyle w:val="Verzeichnis3"/>
            <w:tabs>
              <w:tab w:val="right" w:leader="dot" w:pos="9062"/>
            </w:tabs>
            <w:rPr>
              <w:rFonts w:eastAsiaTheme="minorEastAsia"/>
              <w:noProof/>
              <w:kern w:val="2"/>
              <w:sz w:val="24"/>
              <w:szCs w:val="24"/>
              <w:lang w:eastAsia="de-DE"/>
              <w14:ligatures w14:val="standardContextual"/>
            </w:rPr>
          </w:pPr>
          <w:hyperlink w:anchor="_Toc215819947" w:history="1">
            <w:r w:rsidRPr="00745A4A">
              <w:rPr>
                <w:rStyle w:val="Hyperlink"/>
                <w:noProof/>
              </w:rPr>
              <w:t>5.3.3. Pädagogische Dimension</w:t>
            </w:r>
            <w:r>
              <w:rPr>
                <w:noProof/>
                <w:webHidden/>
              </w:rPr>
              <w:tab/>
            </w:r>
            <w:r>
              <w:rPr>
                <w:noProof/>
                <w:webHidden/>
              </w:rPr>
              <w:fldChar w:fldCharType="begin"/>
            </w:r>
            <w:r>
              <w:rPr>
                <w:noProof/>
                <w:webHidden/>
              </w:rPr>
              <w:instrText xml:space="preserve"> PAGEREF _Toc215819947 \h </w:instrText>
            </w:r>
            <w:r>
              <w:rPr>
                <w:noProof/>
                <w:webHidden/>
              </w:rPr>
            </w:r>
            <w:r>
              <w:rPr>
                <w:noProof/>
                <w:webHidden/>
              </w:rPr>
              <w:fldChar w:fldCharType="separate"/>
            </w:r>
            <w:r>
              <w:rPr>
                <w:noProof/>
                <w:webHidden/>
              </w:rPr>
              <w:t>53</w:t>
            </w:r>
            <w:r>
              <w:rPr>
                <w:noProof/>
                <w:webHidden/>
              </w:rPr>
              <w:fldChar w:fldCharType="end"/>
            </w:r>
          </w:hyperlink>
        </w:p>
        <w:p w14:paraId="729D58D1" w14:textId="77777777" w:rsidR="00A768F4" w:rsidRDefault="00A768F4" w:rsidP="00A768F4">
          <w:pPr>
            <w:pStyle w:val="Verzeichnis1"/>
            <w:tabs>
              <w:tab w:val="right" w:leader="dot" w:pos="9062"/>
            </w:tabs>
            <w:rPr>
              <w:rFonts w:eastAsiaTheme="minorEastAsia"/>
              <w:noProof/>
              <w:kern w:val="2"/>
              <w:sz w:val="24"/>
              <w:szCs w:val="24"/>
              <w:lang w:eastAsia="de-DE"/>
            </w:rPr>
          </w:pPr>
          <w:hyperlink w:anchor="_Toc215819948" w:history="1">
            <w:r w:rsidRPr="00745A4A">
              <w:rPr>
                <w:rStyle w:val="Hyperlink"/>
                <w:noProof/>
              </w:rPr>
              <w:t>6. Pädagogische Implikationen</w:t>
            </w:r>
            <w:r>
              <w:rPr>
                <w:noProof/>
                <w:webHidden/>
              </w:rPr>
              <w:tab/>
            </w:r>
            <w:r>
              <w:rPr>
                <w:noProof/>
                <w:webHidden/>
              </w:rPr>
              <w:fldChar w:fldCharType="begin"/>
            </w:r>
            <w:r>
              <w:rPr>
                <w:noProof/>
                <w:webHidden/>
              </w:rPr>
              <w:instrText xml:space="preserve"> PAGEREF _Toc215819948 \h </w:instrText>
            </w:r>
            <w:r>
              <w:rPr>
                <w:noProof/>
                <w:webHidden/>
              </w:rPr>
            </w:r>
            <w:r>
              <w:rPr>
                <w:noProof/>
                <w:webHidden/>
              </w:rPr>
              <w:fldChar w:fldCharType="separate"/>
            </w:r>
            <w:r>
              <w:rPr>
                <w:noProof/>
                <w:webHidden/>
              </w:rPr>
              <w:t>55</w:t>
            </w:r>
            <w:r>
              <w:rPr>
                <w:noProof/>
                <w:webHidden/>
              </w:rPr>
              <w:fldChar w:fldCharType="end"/>
            </w:r>
          </w:hyperlink>
        </w:p>
        <w:p w14:paraId="19654FC0" w14:textId="77777777" w:rsidR="00A768F4" w:rsidRDefault="00A768F4" w:rsidP="00A768F4">
          <w:pPr>
            <w:pStyle w:val="Verzeichnis2"/>
            <w:tabs>
              <w:tab w:val="right" w:leader="dot" w:pos="9062"/>
            </w:tabs>
            <w:rPr>
              <w:rFonts w:eastAsiaTheme="minorEastAsia"/>
              <w:noProof/>
              <w:kern w:val="2"/>
              <w:sz w:val="24"/>
              <w:szCs w:val="24"/>
              <w:lang w:eastAsia="de-DE"/>
              <w14:ligatures w14:val="standardContextual"/>
            </w:rPr>
          </w:pPr>
          <w:hyperlink w:anchor="_Toc215819949" w:history="1">
            <w:r w:rsidRPr="00745A4A">
              <w:rPr>
                <w:rStyle w:val="Hyperlink"/>
                <w:noProof/>
              </w:rPr>
              <w:t>6.1. Reaktionär: Digitale (Gegen-)Bewegungen und antipluralistische Deutungsangebote</w:t>
            </w:r>
            <w:r>
              <w:rPr>
                <w:noProof/>
                <w:webHidden/>
              </w:rPr>
              <w:tab/>
            </w:r>
            <w:r>
              <w:rPr>
                <w:noProof/>
                <w:webHidden/>
              </w:rPr>
              <w:fldChar w:fldCharType="begin"/>
            </w:r>
            <w:r>
              <w:rPr>
                <w:noProof/>
                <w:webHidden/>
              </w:rPr>
              <w:instrText xml:space="preserve"> PAGEREF _Toc215819949 \h </w:instrText>
            </w:r>
            <w:r>
              <w:rPr>
                <w:noProof/>
                <w:webHidden/>
              </w:rPr>
            </w:r>
            <w:r>
              <w:rPr>
                <w:noProof/>
                <w:webHidden/>
              </w:rPr>
              <w:fldChar w:fldCharType="separate"/>
            </w:r>
            <w:r>
              <w:rPr>
                <w:noProof/>
                <w:webHidden/>
              </w:rPr>
              <w:t>57</w:t>
            </w:r>
            <w:r>
              <w:rPr>
                <w:noProof/>
                <w:webHidden/>
              </w:rPr>
              <w:fldChar w:fldCharType="end"/>
            </w:r>
          </w:hyperlink>
        </w:p>
        <w:p w14:paraId="5EB13C1C" w14:textId="77777777" w:rsidR="00A768F4" w:rsidRDefault="00A768F4" w:rsidP="00A768F4">
          <w:pPr>
            <w:pStyle w:val="Verzeichnis2"/>
            <w:tabs>
              <w:tab w:val="right" w:leader="dot" w:pos="9062"/>
            </w:tabs>
            <w:rPr>
              <w:rFonts w:eastAsiaTheme="minorEastAsia"/>
              <w:noProof/>
              <w:kern w:val="2"/>
              <w:sz w:val="24"/>
              <w:szCs w:val="24"/>
              <w:lang w:eastAsia="de-DE"/>
              <w14:ligatures w14:val="standardContextual"/>
            </w:rPr>
          </w:pPr>
          <w:hyperlink w:anchor="_Toc215819950" w:history="1">
            <w:r w:rsidRPr="00745A4A">
              <w:rPr>
                <w:rStyle w:val="Hyperlink"/>
                <w:noProof/>
              </w:rPr>
              <w:t>6.2. Modern: Sinn- und Identitätssuche in der Jugend</w:t>
            </w:r>
            <w:r>
              <w:rPr>
                <w:noProof/>
                <w:webHidden/>
              </w:rPr>
              <w:tab/>
            </w:r>
            <w:r>
              <w:rPr>
                <w:noProof/>
                <w:webHidden/>
              </w:rPr>
              <w:fldChar w:fldCharType="begin"/>
            </w:r>
            <w:r>
              <w:rPr>
                <w:noProof/>
                <w:webHidden/>
              </w:rPr>
              <w:instrText xml:space="preserve"> PAGEREF _Toc215819950 \h </w:instrText>
            </w:r>
            <w:r>
              <w:rPr>
                <w:noProof/>
                <w:webHidden/>
              </w:rPr>
            </w:r>
            <w:r>
              <w:rPr>
                <w:noProof/>
                <w:webHidden/>
              </w:rPr>
              <w:fldChar w:fldCharType="separate"/>
            </w:r>
            <w:r>
              <w:rPr>
                <w:noProof/>
                <w:webHidden/>
              </w:rPr>
              <w:t>57</w:t>
            </w:r>
            <w:r>
              <w:rPr>
                <w:noProof/>
                <w:webHidden/>
              </w:rPr>
              <w:fldChar w:fldCharType="end"/>
            </w:r>
          </w:hyperlink>
        </w:p>
        <w:p w14:paraId="505BE353" w14:textId="77777777" w:rsidR="00A768F4" w:rsidRDefault="00A768F4" w:rsidP="00A768F4">
          <w:pPr>
            <w:pStyle w:val="Verzeichnis2"/>
            <w:tabs>
              <w:tab w:val="right" w:leader="dot" w:pos="9062"/>
            </w:tabs>
            <w:rPr>
              <w:rFonts w:eastAsiaTheme="minorEastAsia"/>
              <w:noProof/>
              <w:kern w:val="2"/>
              <w:sz w:val="24"/>
              <w:szCs w:val="24"/>
              <w:lang w:eastAsia="de-DE"/>
              <w14:ligatures w14:val="standardContextual"/>
            </w:rPr>
          </w:pPr>
          <w:hyperlink w:anchor="_Toc215819951" w:history="1">
            <w:r w:rsidRPr="00745A4A">
              <w:rPr>
                <w:rStyle w:val="Hyperlink"/>
                <w:noProof/>
              </w:rPr>
              <w:t>6.3. Episch: Geschlossene Glaubensnarrative</w:t>
            </w:r>
            <w:r>
              <w:rPr>
                <w:rStyle w:val="Hyperlink"/>
                <w:noProof/>
              </w:rPr>
              <w:br/>
            </w:r>
            <w:r w:rsidRPr="00745A4A">
              <w:rPr>
                <w:rStyle w:val="Hyperlink"/>
                <w:noProof/>
              </w:rPr>
              <w:t>im Spannungsverhältnis zur Autonomieentwicklung</w:t>
            </w:r>
            <w:r>
              <w:rPr>
                <w:noProof/>
                <w:webHidden/>
              </w:rPr>
              <w:tab/>
            </w:r>
            <w:r>
              <w:rPr>
                <w:noProof/>
                <w:webHidden/>
              </w:rPr>
              <w:fldChar w:fldCharType="begin"/>
            </w:r>
            <w:r>
              <w:rPr>
                <w:noProof/>
                <w:webHidden/>
              </w:rPr>
              <w:instrText xml:space="preserve"> PAGEREF _Toc215819951 \h </w:instrText>
            </w:r>
            <w:r>
              <w:rPr>
                <w:noProof/>
                <w:webHidden/>
              </w:rPr>
            </w:r>
            <w:r>
              <w:rPr>
                <w:noProof/>
                <w:webHidden/>
              </w:rPr>
              <w:fldChar w:fldCharType="separate"/>
            </w:r>
            <w:r>
              <w:rPr>
                <w:noProof/>
                <w:webHidden/>
              </w:rPr>
              <w:t>58</w:t>
            </w:r>
            <w:r>
              <w:rPr>
                <w:noProof/>
                <w:webHidden/>
              </w:rPr>
              <w:fldChar w:fldCharType="end"/>
            </w:r>
          </w:hyperlink>
        </w:p>
        <w:p w14:paraId="702CC93B" w14:textId="77777777" w:rsidR="00A768F4" w:rsidRDefault="00A768F4" w:rsidP="00A768F4">
          <w:pPr>
            <w:pStyle w:val="Verzeichnis1"/>
            <w:tabs>
              <w:tab w:val="right" w:leader="dot" w:pos="9062"/>
            </w:tabs>
            <w:rPr>
              <w:rFonts w:eastAsiaTheme="minorEastAsia"/>
              <w:noProof/>
              <w:kern w:val="2"/>
              <w:sz w:val="24"/>
              <w:szCs w:val="24"/>
              <w:lang w:eastAsia="de-DE"/>
            </w:rPr>
          </w:pPr>
          <w:hyperlink w:anchor="_Toc215819952" w:history="1">
            <w:r w:rsidRPr="00745A4A">
              <w:rPr>
                <w:rStyle w:val="Hyperlink"/>
                <w:noProof/>
              </w:rPr>
              <w:t>7. Schlussbetrachtung</w:t>
            </w:r>
            <w:r>
              <w:rPr>
                <w:noProof/>
                <w:webHidden/>
              </w:rPr>
              <w:tab/>
            </w:r>
            <w:r>
              <w:rPr>
                <w:noProof/>
                <w:webHidden/>
              </w:rPr>
              <w:fldChar w:fldCharType="begin"/>
            </w:r>
            <w:r>
              <w:rPr>
                <w:noProof/>
                <w:webHidden/>
              </w:rPr>
              <w:instrText xml:space="preserve"> PAGEREF _Toc215819952 \h </w:instrText>
            </w:r>
            <w:r>
              <w:rPr>
                <w:noProof/>
                <w:webHidden/>
              </w:rPr>
            </w:r>
            <w:r>
              <w:rPr>
                <w:noProof/>
                <w:webHidden/>
              </w:rPr>
              <w:fldChar w:fldCharType="separate"/>
            </w:r>
            <w:r>
              <w:rPr>
                <w:noProof/>
                <w:webHidden/>
              </w:rPr>
              <w:t>60</w:t>
            </w:r>
            <w:r>
              <w:rPr>
                <w:noProof/>
                <w:webHidden/>
              </w:rPr>
              <w:fldChar w:fldCharType="end"/>
            </w:r>
          </w:hyperlink>
        </w:p>
        <w:p w14:paraId="0130D3B9" w14:textId="77777777" w:rsidR="00A768F4" w:rsidRDefault="00A768F4" w:rsidP="00A768F4">
          <w:pPr>
            <w:pStyle w:val="Verzeichnis1"/>
            <w:tabs>
              <w:tab w:val="right" w:leader="dot" w:pos="9062"/>
            </w:tabs>
            <w:rPr>
              <w:rFonts w:eastAsiaTheme="minorEastAsia"/>
              <w:noProof/>
              <w:kern w:val="2"/>
              <w:sz w:val="24"/>
              <w:szCs w:val="24"/>
              <w:lang w:eastAsia="de-DE"/>
            </w:rPr>
          </w:pPr>
          <w:hyperlink w:anchor="_Toc215819953" w:history="1">
            <w:r w:rsidRPr="00745A4A">
              <w:rPr>
                <w:rStyle w:val="Hyperlink"/>
                <w:noProof/>
                <w:lang w:val="en-GB"/>
              </w:rPr>
              <w:t>8. Literatur</w:t>
            </w:r>
            <w:r>
              <w:rPr>
                <w:noProof/>
                <w:webHidden/>
              </w:rPr>
              <w:tab/>
            </w:r>
            <w:r>
              <w:rPr>
                <w:noProof/>
                <w:webHidden/>
              </w:rPr>
              <w:fldChar w:fldCharType="begin"/>
            </w:r>
            <w:r>
              <w:rPr>
                <w:noProof/>
                <w:webHidden/>
              </w:rPr>
              <w:instrText xml:space="preserve"> PAGEREF _Toc215819953 \h </w:instrText>
            </w:r>
            <w:r>
              <w:rPr>
                <w:noProof/>
                <w:webHidden/>
              </w:rPr>
            </w:r>
            <w:r>
              <w:rPr>
                <w:noProof/>
                <w:webHidden/>
              </w:rPr>
              <w:fldChar w:fldCharType="separate"/>
            </w:r>
            <w:r>
              <w:rPr>
                <w:noProof/>
                <w:webHidden/>
              </w:rPr>
              <w:t>61</w:t>
            </w:r>
            <w:r>
              <w:rPr>
                <w:noProof/>
                <w:webHidden/>
              </w:rPr>
              <w:fldChar w:fldCharType="end"/>
            </w:r>
          </w:hyperlink>
        </w:p>
        <w:p w14:paraId="49371A47" w14:textId="77777777" w:rsidR="00A768F4" w:rsidRDefault="00A768F4" w:rsidP="00A768F4">
          <w:r>
            <w:rPr>
              <w:b/>
              <w:bCs/>
            </w:rPr>
            <w:fldChar w:fldCharType="end"/>
          </w:r>
        </w:p>
      </w:sdtContent>
    </w:sdt>
    <w:p w14:paraId="61F7E6DD" w14:textId="77777777" w:rsidR="00A768F4" w:rsidRDefault="00A768F4" w:rsidP="00A768F4">
      <w:pPr>
        <w:rPr>
          <w:b/>
        </w:rPr>
      </w:pPr>
    </w:p>
    <w:p w14:paraId="7E60A61D" w14:textId="77777777" w:rsidR="00A768F4" w:rsidRDefault="00A768F4" w:rsidP="00A768F4">
      <w:pPr>
        <w:rPr>
          <w:b/>
        </w:rPr>
      </w:pPr>
    </w:p>
    <w:p w14:paraId="5CD1B413" w14:textId="77777777" w:rsidR="00A768F4" w:rsidRPr="006511D8" w:rsidRDefault="00A768F4" w:rsidP="00A768F4">
      <w:pPr>
        <w:rPr>
          <w:b/>
        </w:rPr>
      </w:pPr>
      <w:r w:rsidRPr="006511D8">
        <w:rPr>
          <w:b/>
        </w:rPr>
        <w:br w:type="page"/>
      </w:r>
    </w:p>
    <w:p w14:paraId="73F61B62" w14:textId="77777777" w:rsidR="00A768F4" w:rsidRPr="008D6B6B" w:rsidRDefault="00A768F4" w:rsidP="0000208E">
      <w:pPr>
        <w:pStyle w:val="berschrift1"/>
        <w:numPr>
          <w:ilvl w:val="0"/>
          <w:numId w:val="0"/>
        </w:numPr>
        <w:spacing w:after="160"/>
        <w:ind w:left="432" w:hanging="432"/>
        <w:rPr>
          <w:rFonts w:asciiTheme="minorHAnsi" w:hAnsiTheme="minorHAnsi" w:cstheme="minorHAnsi"/>
          <w:color w:val="016D72"/>
          <w:sz w:val="32"/>
          <w:szCs w:val="32"/>
        </w:rPr>
      </w:pPr>
      <w:bookmarkStart w:id="73" w:name="_Toc215819932"/>
      <w:r w:rsidRPr="008D6B6B">
        <w:rPr>
          <w:rFonts w:asciiTheme="minorHAnsi" w:hAnsiTheme="minorHAnsi" w:cstheme="minorHAnsi"/>
          <w:color w:val="016D72"/>
          <w:sz w:val="32"/>
          <w:szCs w:val="32"/>
        </w:rPr>
        <w:lastRenderedPageBreak/>
        <w:t>1. Einleitung</w:t>
      </w:r>
      <w:bookmarkEnd w:id="73"/>
    </w:p>
    <w:p w14:paraId="438580AD" w14:textId="77777777" w:rsidR="00A768F4" w:rsidRPr="00496E39" w:rsidRDefault="00A768F4" w:rsidP="00A768F4">
      <w:pPr>
        <w:spacing w:line="276" w:lineRule="auto"/>
        <w:jc w:val="both"/>
        <w:rPr>
          <w:rFonts w:cs="Calibri"/>
        </w:rPr>
      </w:pPr>
      <w:r w:rsidRPr="00496E39">
        <w:rPr>
          <w:rFonts w:cs="Calibri"/>
        </w:rPr>
        <w:t xml:space="preserve">Die vielfach konstatierten Säkularisierungstendenzen im sogenannten </w:t>
      </w:r>
      <w:r w:rsidRPr="00496E39">
        <w:rPr>
          <w:rFonts w:cs="Calibri"/>
          <w:i/>
          <w:iCs/>
        </w:rPr>
        <w:t>Globalen Norden</w:t>
      </w:r>
      <w:r w:rsidRPr="00496E39">
        <w:rPr>
          <w:rFonts w:cs="Calibri"/>
        </w:rPr>
        <w:t xml:space="preserve"> schließen gegenläufige Entwicklungen nicht aus, im Gegenteil scheinen sie diese mitunter sogar zu begünstigen. Populär am Beispiel der USA zu erkennen, prägen evangelikale und fundamentalistische </w:t>
      </w:r>
      <w:proofErr w:type="gramStart"/>
      <w:r w:rsidRPr="00496E39">
        <w:rPr>
          <w:rFonts w:cs="Calibri"/>
        </w:rPr>
        <w:t>Christ:innen</w:t>
      </w:r>
      <w:proofErr w:type="gramEnd"/>
      <w:r w:rsidRPr="00496E39">
        <w:rPr>
          <w:rFonts w:cs="Calibri"/>
        </w:rPr>
        <w:t xml:space="preserve"> nicht nur religiöse, sondern zunehmend auch gesellschaftliche und bildungspolitische Diskurse. Ihre weitreichende Unterstützung für die Präsidentschaft Donald Trumps </w:t>
      </w:r>
      <w:r w:rsidRPr="00496E39">
        <w:rPr>
          <w:rFonts w:cs="Calibri"/>
        </w:rPr>
        <w:fldChar w:fldCharType="begin"/>
      </w:r>
      <w:r w:rsidRPr="00496E39">
        <w:rPr>
          <w:rFonts w:cs="Calibri"/>
        </w:rPr>
        <w:instrText xml:space="preserve"> ADDIN ZOTERO_ITEM CSL_CITATION {"citationID":"4XkkHpsk","properties":{"formattedCitation":"({\\i{}Religion and the 2024 Presidential Election} 2025)","plainCitation":"(Religion and the 2024 Presidential Election 2025)","dontUpdate":true,"noteIndex":0},"citationItems":[{"id":255,"uris":["http://zotero.org/users/14566843/items/RQDPP6UC"],"itemData":{"id":255,"type":"report","publisher":"PRRI","title":"Religion and the 2024 Presidential Election","URL":"https://prri.org/spotlight/religion-and-the-2024-presidential-election/?utm_source=chatgpt.com","accessed":{"date-parts":[["2025",7,18]]},"issued":{"date-parts":[["2025"]]}}}],"schema":"https://github.com/citation-style-language/schema/raw/master/csl-citation.json"} </w:instrText>
      </w:r>
      <w:r w:rsidRPr="00496E39">
        <w:rPr>
          <w:rFonts w:cs="Calibri"/>
        </w:rPr>
        <w:fldChar w:fldCharType="separate"/>
      </w:r>
      <w:r w:rsidRPr="00496E39">
        <w:rPr>
          <w:rFonts w:cs="Calibri"/>
        </w:rPr>
        <w:t xml:space="preserve">(PRRI, </w:t>
      </w:r>
      <w:r w:rsidRPr="00496E39">
        <w:rPr>
          <w:rFonts w:cs="Calibri"/>
        </w:rPr>
        <w:fldChar w:fldCharType="end"/>
      </w:r>
      <w:r w:rsidRPr="00496E39">
        <w:rPr>
          <w:rFonts w:cs="Calibri"/>
        </w:rPr>
        <w:t xml:space="preserve">2025) und die Rolle (weißer), christlich nationalistischer Gruppen beim Sturm auf das Kapitol im Januar 2021 </w:t>
      </w:r>
      <w:r w:rsidRPr="00496E39">
        <w:rPr>
          <w:rFonts w:cs="Calibri"/>
        </w:rPr>
        <w:fldChar w:fldCharType="begin"/>
      </w:r>
      <w:r w:rsidRPr="00496E39">
        <w:rPr>
          <w:rFonts w:cs="Calibri"/>
        </w:rPr>
        <w:instrText xml:space="preserve"> ADDIN ZOTERO_ITEM CSL_CITATION {"citationID":"a2frgq7b8h","properties":{"formattedCitation":"\\uldash{(Perry u.\\uc0\\u160{}a. 2022)}","plainCitation":"(Perry u. a. 2022)","dontUpdate":true,"noteIndex":0},"citationItems":[{"id":396,"uris":["http://zotero.org/users/14566843/items/BG2MGXJR"],"itemData":{"id":396,"type":"article-journal","abstract":"Abstract\n            \n              Christian nationalist ideology was among the strongest predictors of Americans voting for Trump in 2016 and remained a strong predictor of intent to vote for him prior to the 2020 election. This study uses national data to examine whether Christian nationalism could potenti</w:instrText>
      </w:r>
      <w:r w:rsidRPr="00FD3665">
        <w:rPr>
          <w:rFonts w:cs="Calibri"/>
          <w:lang w:val="en-GB"/>
        </w:rPr>
        <w:instrText>ally convert the previously-unconverted to supporting Trump or, conversely, prevent apostatizing from Trump. Among Americans who\n              did not\n              vote for Trump in 2016, Christian nationalism increased the likelihood that they intended to vote for Trump in 2020, but only those who earlier did not vote at all or voted third party. Conversely, among Americans who\n              did\n              vote for Trump in 2016, Christian nationalism reduced the likelihood that they planned on voting for a Democratic or third party candidate. Christian nationalism thus potentially inclined Americans who previously did not vote for Trump in 2016 to vote his way in 2020 and inoculated previous Trump-voters from considering other candidates in 2020.","container-title":"Politics and Religion","DOI":"10.1017/S175504832100002X","ISSN":"1755-0483, 1755-0491","issue":"2","journalAbbreviation":"Politics and Religion","language":"en","license":"https://creativecommons.org/licenses/by/4.0/","page":"229-246","source":"DOI.</w:instrText>
      </w:r>
      <w:r w:rsidRPr="00C66CB1">
        <w:rPr>
          <w:rFonts w:cs="Calibri"/>
          <w:lang w:val="en-GB"/>
        </w:rPr>
        <w:instrText xml:space="preserve">org (Crossref)","title":"The Devil That You Know: Christian Nationalism and Intent to Change One's Voting Behavior For or Against Trump in 2020","title-short":"The Devil That You Know","volume":"15","author":[{"family":"Perry","given":"Samuel L."},{"family":"Whitehead","given":"Andrew L."},{"family":"Grubbs","given":"Joshua B."}],"issued":{"date-parts":[["2022",6]]}}}],"schema":"https://github.com/citation-style-language/schema/raw/master/csl-citation.json"} </w:instrText>
      </w:r>
      <w:r w:rsidRPr="00496E39">
        <w:rPr>
          <w:rFonts w:cs="Calibri"/>
        </w:rPr>
        <w:fldChar w:fldCharType="separate"/>
      </w:r>
      <w:r w:rsidRPr="00C66CB1">
        <w:rPr>
          <w:rFonts w:cs="Calibri"/>
          <w:lang w:val="en-GB"/>
        </w:rPr>
        <w:t>(Perry u. a. 2022, 244;</w:t>
      </w:r>
      <w:r w:rsidRPr="00496E39">
        <w:rPr>
          <w:rFonts w:cs="Calibri"/>
        </w:rPr>
        <w:fldChar w:fldCharType="end"/>
      </w:r>
      <w:r w:rsidRPr="00C66CB1">
        <w:rPr>
          <w:rFonts w:cs="Calibri"/>
          <w:lang w:val="en-GB"/>
        </w:rPr>
        <w:t xml:space="preserve"> </w:t>
      </w:r>
      <w:r w:rsidRPr="00496E39">
        <w:rPr>
          <w:rFonts w:cs="Calibri"/>
        </w:rPr>
        <w:fldChar w:fldCharType="begin"/>
      </w:r>
      <w:r w:rsidRPr="00C66CB1">
        <w:rPr>
          <w:rFonts w:cs="Calibri"/>
          <w:lang w:val="en-GB"/>
        </w:rPr>
        <w:instrText xml:space="preserve"> ADDIN ZOTERO_ITEM CSL_CITATION {"citationID":"RJwpgueg","properties":{"formattedCitation":"(Gorski u.\\uc0\\u160{}a. 2022)","plainCitation":"(Gorski u. a. 2022)","dontUpdate":true,"noteIndex":0},"citationItems":[{"id":304,"uris":["http://zotero.org/users/14566843/items/ANT52AA2"],"itemData":{"id":304,"type":"book","abstract":"Abstract\n            Most Americans were shocked by the violence they witnessed at the nation’s capital on January 6, 2021. And bewildered by the images displayed by the insurrectionists: a wooden cross and wooden gallows; “Jesus Saves” and “Don’t Tread on Me”; Christian flags and Confederate Flags; even a prayer in Jesus’s name after storming the Senate chamber. Where some saw a confusing jumble, Gorski and Perry saw a familiar ideology: white Christian nationalism. In this short primer, Gorski and Perry explain what white Christian nationalism is and is not; when it first emerged and how it has changed; and where it’s headed and why it threatens democracy. They explain what makes white Christian nationalism “white.” They show how it took shape over three centuries ago. And how it has influenced American politics over the last three decades. Throughout American history, white Christian nationalism has animated the oppression, exclusion, and even extermination of minority groups while securing privilege for white Protestants. It enables white Christian Americans to demand “sacrifice” from others in the name of religion and nation, while defending their “rights” in the names of “liberty” and “property.” The future of American democracy, they argue, will depend on whether a broad spectrum of Americans—stretching from democratic socialists to classical liberals—can unite in a popular front to combat the threat to liberal democracy posed by white Christian nationalism.","edition":"1","ISBN":"978-0-19-761868-4","language":"en","note":"DOI: 10.1093/oso/9780197618684.001.0001","publisher":"Oxford University PressNew York","source":"DOI.org (Crossref)","title":"The Flag and the Cross: White Christian Nationalism and the Threat to American Democracy","title-short":"The Flag and the Cross","URL":"https://academic.oup.com/book/41502","author":[{"family":"Gorski","given":"Philip S."},{"family":"Perry","given":"Samuel L."},{"family":"Tisby","given":"Jemar"}],"accessed":{"date-parts":[["2025",7,30]]},"issued":{"date-parts":[["2022",7,1]]}}}],"schema":"https://github.com/citation-style-language/schema/raw/master/csl-citation.json"} </w:instrText>
      </w:r>
      <w:r w:rsidRPr="00496E39">
        <w:rPr>
          <w:rFonts w:cs="Calibri"/>
        </w:rPr>
        <w:fldChar w:fldCharType="separate"/>
      </w:r>
      <w:r w:rsidRPr="00C66CB1">
        <w:rPr>
          <w:rFonts w:cs="Calibri"/>
          <w:lang w:val="en-GB"/>
        </w:rPr>
        <w:t xml:space="preserve"> </w:t>
      </w:r>
      <w:r w:rsidRPr="00496E39">
        <w:rPr>
          <w:rFonts w:cs="Calibri"/>
        </w:rPr>
        <w:fldChar w:fldCharType="end"/>
      </w:r>
      <w:r w:rsidRPr="00496E39">
        <w:rPr>
          <w:rFonts w:cs="Calibri"/>
        </w:rPr>
        <w:fldChar w:fldCharType="begin"/>
      </w:r>
      <w:r w:rsidRPr="00C66CB1">
        <w:rPr>
          <w:rFonts w:cs="Calibri"/>
          <w:lang w:val="en-GB"/>
        </w:rPr>
        <w:instrText xml:space="preserve"> ADDIN ZOTERO_ITEM CSL_CITATION {"citationID":"abmgpb2qgp","properties":{"formattedCitation":"\\uldash{(Armaly u.\\uc0\\u160{}a. 2022)}","plainCitation":"(Armaly u. a. 2022)","dontUpdate":true,"noteIndex":0},"citationItems":[{"id":303,"uris":["http://zotero.org/users/14566843/items/5JIJLI7D"],"itemData":{"id":303,"type":"article-journal","container-title":"Political Behavior","DOI":"10.1007/s11109-021-09758-y","ISSN":"0190-9320, 1573-6687","issue":"2","journalAbbreviation":"Polit Behav","language":"en","page":"937-960","source":"DOI.org (Crossref)","title":"Christian Nationalism and Political Violence: Victimhood, Racial Identity, Conspiracy, and Support for the Capitol Attacks","title-short":"Christian Nationalism and Political Violence","volume":"44","author":[{"family":"Armaly","given":"Miles T."},{"family":"Buckley","given":"David T."},{"family":"Enders","given":"Adam M."}],"issued":{"date-parts":[["2022",6]]}}}],"schema":"https://github.com/citation-style-language/schema/raw/master/csl-citation.json"} </w:instrText>
      </w:r>
      <w:r w:rsidRPr="00496E39">
        <w:rPr>
          <w:rFonts w:cs="Calibri"/>
        </w:rPr>
        <w:fldChar w:fldCharType="separate"/>
      </w:r>
      <w:r w:rsidRPr="00C66CB1">
        <w:rPr>
          <w:rFonts w:cs="Calibri"/>
          <w:lang w:val="en-GB"/>
        </w:rPr>
        <w:t>Armaly u. a. 2022, 947)</w:t>
      </w:r>
      <w:r w:rsidRPr="00496E39">
        <w:rPr>
          <w:rFonts w:cs="Calibri"/>
        </w:rPr>
        <w:fldChar w:fldCharType="end"/>
      </w:r>
      <w:r w:rsidRPr="00C66CB1">
        <w:rPr>
          <w:rFonts w:cs="Calibri"/>
          <w:lang w:val="en-GB"/>
        </w:rPr>
        <w:t xml:space="preserve"> haben das öffentliche und zunehmend auch wissenschaftliche Interesse an diesen Strömungen deutlich verstärkt. </w:t>
      </w:r>
      <w:r w:rsidRPr="00496E39">
        <w:rPr>
          <w:rFonts w:cs="Calibri"/>
        </w:rPr>
        <w:t xml:space="preserve">Vor diesem Hintergrund ist eine systematische Auseinandersetzung mit christlichem Fundamentalismus und dessen Implikationen für die pädagogische Arbeit, gerade im akademisch wenig bearbeiteten, deutschen Kontext notwendig. Nicht im Sinne einer direkten Übertragung der US-amerikanischen Verhältnisse, wohl aber mit Blick auf strukturelle Parallelen, ideologische Anschlussstellen und wachsende internationale Vernetzungen. </w:t>
      </w:r>
    </w:p>
    <w:p w14:paraId="73A65346" w14:textId="77777777" w:rsidR="00A768F4" w:rsidRPr="007C1C73" w:rsidRDefault="00A768F4" w:rsidP="00A768F4">
      <w:pPr>
        <w:spacing w:line="276" w:lineRule="auto"/>
        <w:jc w:val="both"/>
        <w:rPr>
          <w:rFonts w:cs="Calibri"/>
        </w:rPr>
      </w:pPr>
      <w:r w:rsidRPr="005A5143">
        <w:rPr>
          <w:rFonts w:cs="Calibri"/>
        </w:rPr>
        <w:t xml:space="preserve">Theoretisch fundiert, nimmt </w:t>
      </w:r>
      <w:r>
        <w:rPr>
          <w:rFonts w:cs="Calibri"/>
        </w:rPr>
        <w:t>dieser</w:t>
      </w:r>
      <w:r w:rsidRPr="005A5143">
        <w:rPr>
          <w:rFonts w:cs="Calibri"/>
        </w:rPr>
        <w:t xml:space="preserve"> Beitrag</w:t>
      </w:r>
      <w:r>
        <w:rPr>
          <w:rFonts w:cs="Calibri"/>
        </w:rPr>
        <w:t xml:space="preserve"> daher </w:t>
      </w:r>
      <w:r w:rsidRPr="005A5143">
        <w:rPr>
          <w:rFonts w:cs="Calibri"/>
        </w:rPr>
        <w:t xml:space="preserve">im Folgenden </w:t>
      </w:r>
      <w:r>
        <w:rPr>
          <w:rFonts w:cs="Calibri"/>
        </w:rPr>
        <w:t xml:space="preserve">zwei aufeinander aufbauende </w:t>
      </w:r>
      <w:r w:rsidRPr="005A5143">
        <w:rPr>
          <w:rFonts w:cs="Calibri"/>
        </w:rPr>
        <w:t>Fragestellungen in den Blick:</w:t>
      </w:r>
    </w:p>
    <w:p w14:paraId="4ED589E2" w14:textId="77777777" w:rsidR="00A768F4" w:rsidRPr="001A35B0" w:rsidRDefault="00A768F4" w:rsidP="00A768F4">
      <w:pPr>
        <w:pStyle w:val="Listenabsatz"/>
        <w:numPr>
          <w:ilvl w:val="0"/>
          <w:numId w:val="22"/>
        </w:numPr>
        <w:spacing w:line="276" w:lineRule="auto"/>
        <w:jc w:val="both"/>
        <w:rPr>
          <w:rFonts w:cs="Calibri"/>
          <w:sz w:val="22"/>
          <w:szCs w:val="22"/>
          <w:lang w:val="de-DE"/>
        </w:rPr>
      </w:pPr>
      <w:r w:rsidRPr="001A35B0">
        <w:rPr>
          <w:rFonts w:cs="Calibri"/>
          <w:sz w:val="22"/>
          <w:szCs w:val="22"/>
          <w:lang w:val="de-DE"/>
        </w:rPr>
        <w:t>Wie äußert sich christlicher Fundamentalismus in Deutschland?</w:t>
      </w:r>
    </w:p>
    <w:p w14:paraId="71177AD7" w14:textId="77777777" w:rsidR="00A768F4" w:rsidRPr="001A35B0" w:rsidRDefault="00A768F4" w:rsidP="00A768F4">
      <w:pPr>
        <w:pStyle w:val="Listenabsatz"/>
        <w:numPr>
          <w:ilvl w:val="0"/>
          <w:numId w:val="22"/>
        </w:numPr>
        <w:spacing w:after="160" w:line="276" w:lineRule="auto"/>
        <w:ind w:left="714" w:hanging="357"/>
        <w:contextualSpacing w:val="0"/>
        <w:jc w:val="both"/>
        <w:rPr>
          <w:rFonts w:cs="Calibri"/>
          <w:sz w:val="22"/>
          <w:szCs w:val="22"/>
          <w:lang w:val="de-DE"/>
        </w:rPr>
      </w:pPr>
      <w:r w:rsidRPr="001A35B0">
        <w:rPr>
          <w:rFonts w:cs="Calibri"/>
          <w:sz w:val="22"/>
          <w:szCs w:val="22"/>
          <w:lang w:val="de-DE"/>
        </w:rPr>
        <w:t>Welche pädagogischen Implikationen ergeben sich daraus?</w:t>
      </w:r>
    </w:p>
    <w:p w14:paraId="2CD07ED8" w14:textId="77777777" w:rsidR="00A768F4" w:rsidRDefault="00A768F4" w:rsidP="00A768F4">
      <w:pPr>
        <w:spacing w:after="0" w:line="276" w:lineRule="auto"/>
        <w:jc w:val="both"/>
        <w:rPr>
          <w:rFonts w:cs="Calibri"/>
        </w:rPr>
      </w:pPr>
      <w:r w:rsidRPr="007C1C73">
        <w:rPr>
          <w:rFonts w:cs="Calibri"/>
        </w:rPr>
        <w:t>Zunächst wird zur analytischen Klarheit der Begriff Fundamentalismus, auf de</w:t>
      </w:r>
      <w:r>
        <w:rPr>
          <w:rFonts w:cs="Calibri"/>
        </w:rPr>
        <w:t>n</w:t>
      </w:r>
      <w:r w:rsidRPr="007C1C73">
        <w:rPr>
          <w:rFonts w:cs="Calibri"/>
        </w:rPr>
        <w:t xml:space="preserve"> die nachfolgenden Überlegungen </w:t>
      </w:r>
      <w:r>
        <w:rPr>
          <w:rFonts w:cs="Calibri"/>
        </w:rPr>
        <w:t>basieren</w:t>
      </w:r>
      <w:r w:rsidRPr="007C1C73">
        <w:rPr>
          <w:rFonts w:cs="Calibri"/>
        </w:rPr>
        <w:t xml:space="preserve"> und der eine Abgrenzung zu anderen konservativen religiösen Strömungen ermöglicht</w:t>
      </w:r>
      <w:r>
        <w:rPr>
          <w:rFonts w:cs="Calibri"/>
        </w:rPr>
        <w:t>,</w:t>
      </w:r>
      <w:r w:rsidRPr="007C1C73">
        <w:rPr>
          <w:rFonts w:cs="Calibri"/>
        </w:rPr>
        <w:t xml:space="preserve"> auf Grundlage der ‘BicFam’ Definition </w:t>
      </w:r>
      <w:r>
        <w:rPr>
          <w:rFonts w:cs="Calibri"/>
        </w:rPr>
        <w:fldChar w:fldCharType="begin"/>
      </w:r>
      <w:r>
        <w:rPr>
          <w:rFonts w:cs="Calibri"/>
        </w:rPr>
        <w:instrText xml:space="preserve"> ADDIN ZOTERO_ITEM CSL_CITATION {"citationID":"a1s3mvc2lr","properties":{"formattedCitation":"(Peels 2023)","plainCitation":"(Peels 2023)","noteIndex":0},"citationItems":[{"id":96,"uris":["http://zotero.org/users/14566843/items/J42UVP3N"],"itemData":{"id":96,"type":"article-journal","abstract":"Abstract\n            This article combines two things: it explores how one should undertake the project of defining ‘fundamentalism’ and, based on the ensuing desiderata, it actually provides such a definition. After a few preliminary comments on ‘fundamentalism’ and the value of defining it, five goals of definitions are distinguished and elucidated: accuracy, precision, fairness, clarity, and fecundity. After that, various kinds of definitions and their interrelations are spelled out. Finally, the author provides and defends a so-called explicative definition of ‘fundamentalism’ both in terms of necessary and sufficient conditions and in terms of stereotypical properties. On the basis of empirical literature and a scoping review, it is argued that a movement is fundamentalist if and only if it is (i) reactionary towards modern developments, (ii) itself modern, and (iii) based on a grand historical narrative. More specifically, a movement is fundamentalist if it exemplifies a large number of the following properties: (i) it is reactionary in its rejection of liberal ethics, science, or technological exploitation; (ii) it is modern in seeking certainty and control, embracing literalism and infallibility about particular scriptures, actively using media and technology, or making universal claims; and (iii) it presents a grand historical narrative in terms of paradise, fall, and redemption, or cosmic dualism.","container-title":"Religious Studies","DOI":"10.1017/S0034412522000683","ISSN":"0034-4125, 1469-901X","issue":"4","journalAbbreviation":"Rel. Stud.","language":"en","page":"729-747","source":"DOI.org (Crossref)","title":"On defining ‘fundamentalism’","volume":"59","author":[{"family":"Peels","given":"Rik"}],"issued":{"date-parts":[["2023",12]]}}}],"schema":"https://github.com/citation-style-language/schema/raw/master/csl-citation.json"} </w:instrText>
      </w:r>
      <w:r>
        <w:rPr>
          <w:rFonts w:cs="Calibri"/>
        </w:rPr>
        <w:fldChar w:fldCharType="separate"/>
      </w:r>
      <w:r w:rsidRPr="009E29D6">
        <w:rPr>
          <w:rFonts w:cs="Calibri"/>
        </w:rPr>
        <w:t>(Peels 2023)</w:t>
      </w:r>
      <w:r>
        <w:rPr>
          <w:rFonts w:cs="Calibri"/>
        </w:rPr>
        <w:fldChar w:fldCharType="end"/>
      </w:r>
      <w:r w:rsidRPr="007C1C73">
        <w:rPr>
          <w:rFonts w:cs="Calibri"/>
        </w:rPr>
        <w:t xml:space="preserve"> beschrieben. Basierend auf einem Analyserahmen, </w:t>
      </w:r>
      <w:r>
        <w:rPr>
          <w:rFonts w:cs="Calibri"/>
        </w:rPr>
        <w:t>d</w:t>
      </w:r>
      <w:r w:rsidRPr="007C1C73">
        <w:rPr>
          <w:rFonts w:cs="Calibri"/>
        </w:rPr>
        <w:t xml:space="preserve">er aufeinander aufbauend die (I) historisch-theoretische Dimension, die (II) gesellschaftlich-politische Dimension und die (III) pädagogische Dimension christlich </w:t>
      </w:r>
      <w:r>
        <w:rPr>
          <w:rFonts w:cs="Calibri"/>
        </w:rPr>
        <w:t>f</w:t>
      </w:r>
      <w:r w:rsidRPr="007C1C73">
        <w:rPr>
          <w:rFonts w:cs="Calibri"/>
        </w:rPr>
        <w:t>undamentalistischer Strukturen skizziert, wird zunächst der US-</w:t>
      </w:r>
      <w:r>
        <w:rPr>
          <w:rFonts w:cs="Calibri"/>
        </w:rPr>
        <w:t>a</w:t>
      </w:r>
      <w:r w:rsidRPr="007C1C73">
        <w:rPr>
          <w:rFonts w:cs="Calibri"/>
        </w:rPr>
        <w:t xml:space="preserve">merikanische Kontext abgebildet.  </w:t>
      </w:r>
    </w:p>
    <w:p w14:paraId="559EFE4F" w14:textId="77777777" w:rsidR="00A768F4" w:rsidRPr="004918FA" w:rsidRDefault="00A768F4" w:rsidP="00A768F4">
      <w:pPr>
        <w:spacing w:line="276" w:lineRule="auto"/>
        <w:jc w:val="both"/>
        <w:rPr>
          <w:rFonts w:cs="Calibri"/>
        </w:rPr>
      </w:pPr>
      <w:r w:rsidRPr="008956C8">
        <w:rPr>
          <w:rFonts w:cs="Calibri"/>
        </w:rPr>
        <w:t>Der Grund für diese Fokussierung liegt zum einen in der dort stärkeren wissenschaftlichen Auseinandersetzung und der größeren gesellschaft</w:t>
      </w:r>
      <w:r>
        <w:rPr>
          <w:rFonts w:cs="Calibri"/>
        </w:rPr>
        <w:t>spolitischen</w:t>
      </w:r>
      <w:r w:rsidRPr="008956C8">
        <w:rPr>
          <w:rFonts w:cs="Calibri"/>
        </w:rPr>
        <w:t xml:space="preserve"> Sichtbarkeit</w:t>
      </w:r>
      <w:r>
        <w:rPr>
          <w:rFonts w:cs="Calibri"/>
        </w:rPr>
        <w:t xml:space="preserve"> des</w:t>
      </w:r>
      <w:r w:rsidRPr="008956C8">
        <w:rPr>
          <w:rFonts w:cs="Calibri"/>
        </w:rPr>
        <w:t xml:space="preserve"> christlichen Fundamentalismus.</w:t>
      </w:r>
      <w:r>
        <w:rPr>
          <w:rFonts w:cs="Calibri"/>
        </w:rPr>
        <w:t xml:space="preserve"> </w:t>
      </w:r>
      <w:r w:rsidRPr="008956C8">
        <w:rPr>
          <w:rFonts w:cs="Calibri"/>
        </w:rPr>
        <w:t xml:space="preserve">Zum anderen ermöglicht die beobachtbare Zuspitzung der im Folgenden beschriebenen Entwicklungstendenzen Rückschlüsse </w:t>
      </w:r>
      <w:r>
        <w:rPr>
          <w:rFonts w:cs="Calibri"/>
        </w:rPr>
        <w:t xml:space="preserve">und potenzielle Ausblicke </w:t>
      </w:r>
      <w:r w:rsidRPr="008956C8">
        <w:rPr>
          <w:rFonts w:cs="Calibri"/>
        </w:rPr>
        <w:t xml:space="preserve">auf </w:t>
      </w:r>
      <w:r>
        <w:rPr>
          <w:rFonts w:cs="Calibri"/>
        </w:rPr>
        <w:t xml:space="preserve">die </w:t>
      </w:r>
      <w:r w:rsidRPr="008956C8">
        <w:rPr>
          <w:rFonts w:cs="Calibri"/>
        </w:rPr>
        <w:t>Situation in Deutschland. </w:t>
      </w:r>
      <w:r>
        <w:rPr>
          <w:rFonts w:cs="Calibri"/>
        </w:rPr>
        <w:t xml:space="preserve"> </w:t>
      </w:r>
      <w:r w:rsidRPr="004918FA">
        <w:rPr>
          <w:rFonts w:cs="Calibri"/>
        </w:rPr>
        <w:t>Dabei richtet sich der Blick insbesondere auf jene gesellschaftlich-strukturellen Faktoren, die eine Übertragbarkeit und Einordnung der beschriebenen Entwicklungen ermöglichen. </w:t>
      </w:r>
    </w:p>
    <w:p w14:paraId="4F8EEE5F" w14:textId="77777777" w:rsidR="00A768F4" w:rsidRDefault="00A768F4" w:rsidP="008B7F33">
      <w:pPr>
        <w:spacing w:after="0" w:line="276" w:lineRule="auto"/>
        <w:jc w:val="both"/>
        <w:rPr>
          <w:rFonts w:cs="Calibri"/>
        </w:rPr>
      </w:pPr>
      <w:r w:rsidRPr="004918FA">
        <w:rPr>
          <w:rFonts w:cs="Calibri"/>
        </w:rPr>
        <w:t>Vor diesem Hintergrundwissen wird der deutsche Kontext thematisiert, indem zunächst ein Bild der hiesigen fundamentalistischen Landschaft gezeichnet wird (Forschungsfrage I)</w:t>
      </w:r>
      <w:r>
        <w:rPr>
          <w:rFonts w:cs="Calibri"/>
        </w:rPr>
        <w:t>,</w:t>
      </w:r>
      <w:r w:rsidRPr="004918FA">
        <w:rPr>
          <w:rFonts w:cs="Calibri"/>
        </w:rPr>
        <w:t xml:space="preserve"> bevor der zuvor entwickelte vergleichende Analyserahmen angewendet wird. Im Fokus stehen weniger und wenn nur exemplarisch die einzelnen Gemeinschaften an sich als vielmehr deren strukturelle Ausrichtung und Vernetzung untereinander.</w:t>
      </w:r>
      <w:r w:rsidRPr="007C1C73">
        <w:rPr>
          <w:rFonts w:cs="Calibri"/>
        </w:rPr>
        <w:t xml:space="preserve"> </w:t>
      </w:r>
      <w:r w:rsidRPr="00F43F66">
        <w:rPr>
          <w:rFonts w:cs="Calibri"/>
        </w:rPr>
        <w:t>Dabei werden auch neuere Erscheinungsformen sichtbar, etwa Internationalisierungstendenzen, die sich unter anderem</w:t>
      </w:r>
      <w:r>
        <w:rPr>
          <w:rFonts w:cs="Calibri"/>
        </w:rPr>
        <w:t xml:space="preserve"> durch stark mediale Fokussierung und besonders</w:t>
      </w:r>
      <w:r w:rsidRPr="00F43F66">
        <w:rPr>
          <w:rFonts w:cs="Calibri"/>
        </w:rPr>
        <w:t xml:space="preserve"> im Phänomen der </w:t>
      </w:r>
      <w:proofErr w:type="gramStart"/>
      <w:r w:rsidRPr="00F43F66">
        <w:rPr>
          <w:rFonts w:cs="Calibri"/>
        </w:rPr>
        <w:t>Christfluencer:innen</w:t>
      </w:r>
      <w:proofErr w:type="gramEnd"/>
      <w:r w:rsidRPr="00F43F66">
        <w:rPr>
          <w:rFonts w:cs="Calibri"/>
        </w:rPr>
        <w:t xml:space="preserve"> zeigen.</w:t>
      </w:r>
      <w:r>
        <w:rPr>
          <w:rFonts w:cs="Calibri"/>
        </w:rPr>
        <w:t xml:space="preserve"> </w:t>
      </w:r>
      <w:r w:rsidRPr="007C1C73">
        <w:rPr>
          <w:rFonts w:cs="Calibri"/>
        </w:rPr>
        <w:t>Durch die Betrachtung strukturell historischer und gesellschaftlicher</w:t>
      </w:r>
      <w:r>
        <w:rPr>
          <w:rFonts w:cs="Calibri"/>
        </w:rPr>
        <w:t xml:space="preserve"> Prozesse</w:t>
      </w:r>
      <w:r w:rsidRPr="007C1C73">
        <w:rPr>
          <w:rFonts w:cs="Calibri"/>
        </w:rPr>
        <w:t xml:space="preserve"> in Deutschland und unter Rückbezug auf Entwicklungen im US-</w:t>
      </w:r>
      <w:r>
        <w:rPr>
          <w:rFonts w:cs="Calibri"/>
        </w:rPr>
        <w:t>a</w:t>
      </w:r>
      <w:r w:rsidRPr="007C1C73">
        <w:rPr>
          <w:rFonts w:cs="Calibri"/>
        </w:rPr>
        <w:t>merikanischen Raum, soll davon abgeleitet Forschungsfrage (II) beantwortet werden</w:t>
      </w:r>
      <w:r w:rsidRPr="00F43F66">
        <w:rPr>
          <w:rFonts w:cs="Calibri"/>
        </w:rPr>
        <w:t xml:space="preserve">. Aufbauend wird </w:t>
      </w:r>
      <w:r>
        <w:rPr>
          <w:rFonts w:cs="Calibri"/>
        </w:rPr>
        <w:t xml:space="preserve">erneut </w:t>
      </w:r>
      <w:r w:rsidRPr="00F43F66">
        <w:rPr>
          <w:rFonts w:cs="Calibri"/>
        </w:rPr>
        <w:t xml:space="preserve">auf die ‘BicFam’ Definition </w:t>
      </w:r>
      <w:r w:rsidRPr="00F43F66">
        <w:rPr>
          <w:rFonts w:cs="Calibri"/>
        </w:rPr>
        <w:fldChar w:fldCharType="begin"/>
      </w:r>
      <w:r>
        <w:rPr>
          <w:rFonts w:cs="Calibri"/>
        </w:rPr>
        <w:instrText xml:space="preserve"> ADDIN ZOTERO_ITEM CSL_CITATION {"citationID":"a2ngshga0pg","properties":{"formattedCitation":"(Peels 2023)","plainCitation":"(Peels 2023)","noteIndex":0},"citationItems":[{"id":96,"uris":["http://zotero.org/users/14566843/items/J42UVP3N"],"itemData":{"id":96,"type":"article-journal","abstract":"Abstract\n            This article combines two things: it explores how one should undertake the project of defining ‘fundamentalism’ and, based on the ensuing desiderata, it actually provides such a definition. After a few preliminary comments on ‘fundamentalism’ and the value of defining it, five goals of definitions are distinguished and elucidated: accuracy, precision, fairness, clarity, and fecundity. After that, various kinds of definitions and their interrelations are spelled out. Finally, the author provides and defends a so-called explicative definition of ‘fundamentalism’ both in terms of necessary and sufficient conditions and in terms of stereotypical properties. On the basis of empirical literature and a scoping review, it is argued that a movement is fundamentalist if and only if it is (i) reactionary towards modern developments, (ii) itself modern, and (iii) based on a grand historical narrative. More specifically, a movement is fundamentalist if it exemplifies a large number of the following properties: (i) it is reactionary in its rejection of liberal ethics, science, or technological exploitation; (ii) it is modern in seeking certainty and control, embracing literalism and infallibility about particular scriptures, actively using media and technology, or making universal claims; and (iii) it presents a grand historical narrative in terms of paradise, fall, and redemption, or cosmic dualism.","container-title":"Religious Studies","DOI":"10.1017/S0034412522000683","ISSN":"0034-4125, 1469-901X","issue":"4","journalAbbreviation":"Rel. Stud.","language":"en","page":"729-747","source":"DOI.org (Crossref)","title":"On defining ‘fundamentalism’","volume":"59","author":[{"family":"Peels","given":"Rik"}],"issued":{"date-parts":[["2023",12]]}}}],"schema":"https://github.com/citation-style-language/schema/raw/master/csl-citation.json"} </w:instrText>
      </w:r>
      <w:r w:rsidRPr="00F43F66">
        <w:rPr>
          <w:rFonts w:cs="Calibri"/>
        </w:rPr>
        <w:fldChar w:fldCharType="separate"/>
      </w:r>
      <w:r w:rsidRPr="009E29D6">
        <w:rPr>
          <w:rFonts w:cs="Calibri"/>
        </w:rPr>
        <w:t>(Peels 2023)</w:t>
      </w:r>
      <w:r w:rsidRPr="00F43F66">
        <w:rPr>
          <w:rFonts w:cs="Calibri"/>
        </w:rPr>
        <w:fldChar w:fldCharType="end"/>
      </w:r>
      <w:r w:rsidRPr="00F43F66">
        <w:rPr>
          <w:rFonts w:cs="Calibri"/>
        </w:rPr>
        <w:t xml:space="preserve"> zurückgegriffen, um Rückschlüsse aus der Verbindung von Pädagogik und christlichem Fundamentalismus zu ziehen.</w:t>
      </w:r>
      <w:r>
        <w:rPr>
          <w:rFonts w:cs="Calibri"/>
        </w:rPr>
        <w:t xml:space="preserve"> </w:t>
      </w:r>
      <w:r w:rsidRPr="004918FA">
        <w:rPr>
          <w:rFonts w:cs="Calibri"/>
        </w:rPr>
        <w:t xml:space="preserve">So werden die den fundamentalistischen Gemeinschaften inhärenten autoritären, dualistischen, antipluralistischen und literalistischen Strukturen mit zentralen pädagogischen Diskursen verknüpft und unter </w:t>
      </w:r>
      <w:r>
        <w:rPr>
          <w:rFonts w:cs="Calibri"/>
        </w:rPr>
        <w:t>a</w:t>
      </w:r>
      <w:r w:rsidRPr="004918FA">
        <w:rPr>
          <w:rFonts w:cs="Calibri"/>
        </w:rPr>
        <w:t>nderem in Relation zu bestehenden Konzepten der Islamismusforschung gesetzt.</w:t>
      </w:r>
      <w:r>
        <w:rPr>
          <w:rFonts w:cs="Calibri"/>
        </w:rPr>
        <w:t xml:space="preserve"> </w:t>
      </w:r>
      <w:r w:rsidRPr="007C1C73">
        <w:rPr>
          <w:rFonts w:cs="Calibri"/>
        </w:rPr>
        <w:t xml:space="preserve">Fokussiert werden dabei vor </w:t>
      </w:r>
      <w:r w:rsidRPr="007C1C73">
        <w:rPr>
          <w:rFonts w:cs="Calibri"/>
        </w:rPr>
        <w:lastRenderedPageBreak/>
        <w:t xml:space="preserve">allem </w:t>
      </w:r>
      <w:r>
        <w:rPr>
          <w:rFonts w:cs="Calibri"/>
        </w:rPr>
        <w:t xml:space="preserve">strukturelle </w:t>
      </w:r>
      <w:r w:rsidRPr="007C1C73">
        <w:rPr>
          <w:rFonts w:cs="Calibri"/>
        </w:rPr>
        <w:t xml:space="preserve">Herausforderungen, die sich für Bildungsinstitutionen und eine demokratische Erziehung </w:t>
      </w:r>
      <w:r>
        <w:rPr>
          <w:rFonts w:cs="Calibri"/>
        </w:rPr>
        <w:t>an sich</w:t>
      </w:r>
      <w:r w:rsidRPr="007C1C73">
        <w:rPr>
          <w:rFonts w:cs="Calibri"/>
        </w:rPr>
        <w:t xml:space="preserve"> ergeben, wenn religiös-fundamentalistische Weltdeutungen (verstärkt) auf pädagogische Räume einwirken. </w:t>
      </w:r>
    </w:p>
    <w:p w14:paraId="395B8BE7" w14:textId="77777777" w:rsidR="00A768F4" w:rsidRPr="008D6B6B" w:rsidRDefault="00A768F4" w:rsidP="007575EE">
      <w:pPr>
        <w:pStyle w:val="berschrift1"/>
        <w:numPr>
          <w:ilvl w:val="0"/>
          <w:numId w:val="0"/>
        </w:numPr>
        <w:spacing w:before="240" w:after="160"/>
        <w:ind w:left="431" w:hanging="431"/>
        <w:rPr>
          <w:rFonts w:asciiTheme="minorHAnsi" w:hAnsiTheme="minorHAnsi" w:cstheme="minorHAnsi"/>
          <w:color w:val="016D72"/>
          <w:sz w:val="32"/>
          <w:szCs w:val="32"/>
        </w:rPr>
      </w:pPr>
      <w:bookmarkStart w:id="74" w:name="_Toc215819933"/>
      <w:r w:rsidRPr="008D6B6B">
        <w:rPr>
          <w:rFonts w:asciiTheme="minorHAnsi" w:hAnsiTheme="minorHAnsi" w:cstheme="minorHAnsi"/>
          <w:color w:val="016D72"/>
          <w:sz w:val="32"/>
          <w:szCs w:val="32"/>
        </w:rPr>
        <w:t>2. Fundamentalismus als analytische Kategorie</w:t>
      </w:r>
      <w:bookmarkEnd w:id="74"/>
    </w:p>
    <w:p w14:paraId="0812EB26" w14:textId="77777777" w:rsidR="00A768F4" w:rsidRPr="00496E39" w:rsidRDefault="00A768F4" w:rsidP="00A768F4">
      <w:pPr>
        <w:spacing w:line="276" w:lineRule="auto"/>
        <w:jc w:val="both"/>
        <w:rPr>
          <w:rFonts w:cs="Calibri"/>
          <w:color w:val="000000" w:themeColor="text1"/>
        </w:rPr>
      </w:pPr>
      <w:r w:rsidRPr="00496E39">
        <w:rPr>
          <w:rFonts w:cs="Calibri"/>
          <w:color w:val="000000" w:themeColor="text1"/>
        </w:rPr>
        <w:t>Obwohl der Begriff Fundamentalismus heute in verschiedenen religiösen und sogar säkular konnotierten Zusammenhängen gebraucht wird, um Formen ideologischer Verengung und des „Widerstands gegen die Moderne“</w:t>
      </w:r>
      <w:r w:rsidRPr="00496E39">
        <w:rPr>
          <w:rStyle w:val="Funotenzeichen"/>
          <w:rFonts w:cs="Calibri"/>
          <w:color w:val="000000" w:themeColor="text1"/>
        </w:rPr>
        <w:footnoteReference w:id="33"/>
      </w:r>
      <w:r w:rsidRPr="00496E39">
        <w:rPr>
          <w:rFonts w:cs="Calibri"/>
          <w:color w:val="000000" w:themeColor="text1"/>
        </w:rPr>
        <w:t xml:space="preserve"> </w:t>
      </w:r>
      <w:r w:rsidRPr="00496E39">
        <w:rPr>
          <w:rFonts w:cs="Calibri"/>
          <w:color w:val="000000" w:themeColor="text1"/>
        </w:rPr>
        <w:fldChar w:fldCharType="begin"/>
      </w:r>
      <w:r w:rsidRPr="00496E39">
        <w:rPr>
          <w:rFonts w:cs="Calibri"/>
          <w:color w:val="000000" w:themeColor="text1"/>
        </w:rPr>
        <w:instrText xml:space="preserve"> ADDIN ZOTERO_ITEM CSL_CITATION {"citationID":"nAlC45Uz","properties":{"formattedCitation":"(Ruyter 2001)","plainCitation":"(Ruyter 2001)","dontUpdate":true,"noteIndex":0},"citationItems":[{"id":9,"uris":["http://zotero.org/users/14566843/items/GRSBD29P"],"itemData":{"id":9,"type":"article-journal","container-title":"Religious Education","DOI":"10.1080/00344080152472352","ISSN":"0034-4087, 1547-3201","issue":"2","journalAbbreviation":"Religious Education","language":"en","page":"193-210","source":"DOI.org (Crossref)","title":"FUNDAMENTALIST EDUCATION: A CRITICAL ANALYSIS","title-short":"FUNDAMENTALIST EDUCATION","volume":"96","author":[{"family":"Ruyter","given":"Doret De"}],"issued":{"date-parts":[["2001",3]]}}}],"schema":"https://github.com/citation-style-language/schema/raw/master/csl-citation.json"} </w:instrText>
      </w:r>
      <w:r w:rsidRPr="00496E39">
        <w:rPr>
          <w:rFonts w:cs="Calibri"/>
          <w:color w:val="000000" w:themeColor="text1"/>
        </w:rPr>
        <w:fldChar w:fldCharType="separate"/>
      </w:r>
      <w:r w:rsidRPr="00496E39">
        <w:rPr>
          <w:rFonts w:cs="Calibri"/>
          <w:noProof/>
          <w:color w:val="000000" w:themeColor="text1"/>
        </w:rPr>
        <w:t>(Ruyter 2001, 195)</w:t>
      </w:r>
      <w:r w:rsidRPr="00496E39">
        <w:rPr>
          <w:rFonts w:cs="Calibri"/>
          <w:color w:val="000000" w:themeColor="text1"/>
        </w:rPr>
        <w:fldChar w:fldCharType="end"/>
      </w:r>
      <w:r w:rsidRPr="00496E39">
        <w:rPr>
          <w:rFonts w:cs="Calibri"/>
          <w:color w:val="000000" w:themeColor="text1"/>
        </w:rPr>
        <w:t xml:space="preserve"> zu kennzeichnen, liegen seine historischen Wurzeln im konservativ-protestantischen Milieu der Vereinigten Staaten von Amerika zu Beginn des 20. Jahrhunderts. Der Begriff diente schon damals der Abgrenzung von als liberal oder modernistisch empfundenen theologischen und gesellschaftlichen Entwicklungen </w:t>
      </w:r>
      <w:r w:rsidRPr="00496E39">
        <w:rPr>
          <w:rFonts w:cs="Calibri"/>
          <w:color w:val="000000" w:themeColor="text1"/>
        </w:rPr>
        <w:fldChar w:fldCharType="begin"/>
      </w:r>
      <w:r w:rsidRPr="00496E39">
        <w:rPr>
          <w:rFonts w:cs="Calibri"/>
          <w:color w:val="000000" w:themeColor="text1"/>
        </w:rPr>
        <w:instrText xml:space="preserve"> ADDIN ZOTERO_ITEM CSL_CITATION {"citationID":"oHhAu2et","properties":{"formattedCitation":"(Peels und Kindermann 2024)","plainCitation":"(Peels und Kindermann 2024)","dontUpdate":true,"noteIndex":0},"citationItems":[{"id":104,"uris":["http://zotero.org/users/14566843/items/48JLW7H2"],"itemData":{"id":104,"type":"article-journal","container-title":"Journal of Political Ideologies","DOI":"10.1080/13569317.2022.2138294","ISSN":"1356-9317, 1469-9613","issue":"3","journalAbbreviation":"Journal of Political Ideologies","language":"en","page":"492-512","source":"DOI.org (Crossref)","title":"What are fundamentalist beliefs?","volume":"29","author":[{"family":"Peels","given":"Rik"},{"family":"Kindermann","given":"Nora"}],"issued":{"date-parts":[["2024",9]]}}}],"schema":"https://github.com/citation-style-language/schema/raw/master/csl-citation.json"} </w:instrText>
      </w:r>
      <w:r w:rsidRPr="00496E39">
        <w:rPr>
          <w:rFonts w:cs="Calibri"/>
          <w:color w:val="000000" w:themeColor="text1"/>
        </w:rPr>
        <w:fldChar w:fldCharType="separate"/>
      </w:r>
      <w:r w:rsidRPr="00496E39">
        <w:rPr>
          <w:rFonts w:cs="Calibri"/>
          <w:noProof/>
          <w:color w:val="000000" w:themeColor="text1"/>
        </w:rPr>
        <w:t>(Peels und Kindermann 2024, 494-495)</w:t>
      </w:r>
      <w:r w:rsidRPr="00496E39">
        <w:rPr>
          <w:rFonts w:cs="Calibri"/>
          <w:color w:val="000000" w:themeColor="text1"/>
        </w:rPr>
        <w:fldChar w:fldCharType="end"/>
      </w:r>
      <w:r w:rsidRPr="00496E39">
        <w:rPr>
          <w:rFonts w:cs="Calibri"/>
          <w:color w:val="000000" w:themeColor="text1"/>
        </w:rPr>
        <w:t xml:space="preserve">. Diese historische Verankerung bleibt für das Verständnis gegenwärtiger Ausprägungen zentral </w:t>
      </w:r>
      <w:r w:rsidRPr="00496E39">
        <w:rPr>
          <w:rFonts w:cs="Calibri"/>
          <w:color w:val="000000" w:themeColor="text1"/>
        </w:rPr>
        <w:fldChar w:fldCharType="begin"/>
      </w:r>
      <w:r w:rsidRPr="00496E39">
        <w:rPr>
          <w:rFonts w:cs="Calibri"/>
          <w:color w:val="000000" w:themeColor="text1"/>
        </w:rPr>
        <w:instrText xml:space="preserve"> ADDIN ZOTERO_ITEM CSL_CITATION {"citationID":"a2j2au4d71","properties":{"formattedCitation":"\\uldash{(Kindermann 2025)}","plainCitation":"(Kindermann 2025)","dontUpdate":true,"noteIndex":0},"citationItems":[{"id":398,"uris":["http://zotero.org/users/14566843/items/EXFYHRAR"],"itemData":{"id":398,"type":"thesis","abstract":"FUNDAMENTALISM is a contested concept within the social sciences and humanities. Its intension and extension are debated, as is the question of its usefulness for research in these fields. Researchers need to assess whether this concept assists them in making substantive and informative claims about the social world, how to accumulate findings, and how to enhance coherence in fundamentalism research. This dissertation explores how we can assess the usefulness of the contested concept of FUNDAMENTALISM for social science and humanities research. I argue that there is no singular or straightforward method to determine whether and in what form the concept of FUNDAMENTALISM is useful for social science and humanities research. To further the ongoing debate, scholars should clarify their reasons for deeming certain conceptualizations of fundamentalism useful by bringing the concept’s intension, its extension, and normative ideas about the usefulness of concepts into reflective equilibrium. During this process, they should clarify the intended extension and articulate the concept’s intension as clearly as possible. Importantly, they should be transparent about what makes concepts useful in social science and humanities research. By analyzing current and past uses of the concept, along with its criticisms, I discuss four challenges that must be addressed to advance the ongoing debates about the concept’s usefulness: the historicity of the concept, the challenge of specificity, the difficulty in determining the usefulness of concepts, and the risk of biases. To make informed choices, it is crucial to understand the historical development of the concept, possess tools to disambiguate and compare various conceptualizations, be transparent about the values the concept should realize to be useful, and reflect on the risk of bias. In addressing these challenges, I gather guidelines and develop tools to engage with them. These lessons and tools can assist scholars in making informed, transparent decisions regarding their conceptualizations.","genre":"PhD","language":"en","note":"page: HFNKN25420251001\nDOI: 10.5463/thesis.1263","publisher":"Vrije Universiteit Amsterdam","source":"DOI.org (Crossref)","title":"FUNDAMENTALISM - The Usefulness of a Contested Concept","URL":"https://hdl.handle.net/1871.1/c3963f7a-0a58-4b72-b026-3f27e03ab558","author":[{"family":"Kindermann","given":"Nora Noemi"}],"accessed":{"date-parts":[["2025",11,13]]},"issued":{"date-parts":[["2025",9,10]]}}}],"schema":"https://github.com/citation-style-language/schema/raw/master/csl-citation.json"} </w:instrText>
      </w:r>
      <w:r w:rsidRPr="00496E39">
        <w:rPr>
          <w:rFonts w:cs="Calibri"/>
          <w:color w:val="000000" w:themeColor="text1"/>
        </w:rPr>
        <w:fldChar w:fldCharType="separate"/>
      </w:r>
      <w:r w:rsidRPr="00473554">
        <w:rPr>
          <w:rFonts w:cs="Calibri"/>
          <w:color w:val="000000"/>
        </w:rPr>
        <w:t>(Kindermann 2025, 55-56)</w:t>
      </w:r>
      <w:r w:rsidRPr="00496E39">
        <w:rPr>
          <w:rFonts w:cs="Calibri"/>
          <w:color w:val="000000" w:themeColor="text1"/>
        </w:rPr>
        <w:fldChar w:fldCharType="end"/>
      </w:r>
      <w:r w:rsidRPr="00496E39">
        <w:rPr>
          <w:rFonts w:cs="Calibri"/>
          <w:color w:val="000000" w:themeColor="text1"/>
        </w:rPr>
        <w:t>. Auf die damit verbundenen Dynamiken wird im Lauf dieses Kapitels eingegangen.</w:t>
      </w:r>
    </w:p>
    <w:p w14:paraId="58D3B631" w14:textId="77777777" w:rsidR="00A768F4" w:rsidRDefault="00A768F4" w:rsidP="00A768F4">
      <w:pPr>
        <w:pStyle w:val="KeinLeerraum"/>
        <w:spacing w:line="276" w:lineRule="auto"/>
        <w:jc w:val="both"/>
        <w:rPr>
          <w:rFonts w:ascii="Calibri" w:hAnsi="Calibri" w:cs="Calibri"/>
          <w:sz w:val="22"/>
          <w:szCs w:val="22"/>
          <w:lang w:val="de-DE"/>
        </w:rPr>
      </w:pPr>
      <w:r w:rsidRPr="00496E39">
        <w:rPr>
          <w:rFonts w:ascii="Calibri" w:hAnsi="Calibri" w:cs="Calibri"/>
          <w:sz w:val="22"/>
          <w:szCs w:val="22"/>
          <w:lang w:val="de-DE"/>
        </w:rPr>
        <w:t xml:space="preserve">Eine besondere Herausforderung, geht es heute um die akademische Auseinandersetzung mit religiösem Fundamentalismus und Extremismus, sind die diversen Definitions- und Kategorisierungsversuche in den verschiedenen akademischen Disziplinen </w:t>
      </w:r>
      <w:r w:rsidRPr="00496E39">
        <w:rPr>
          <w:rFonts w:ascii="Calibri" w:hAnsi="Calibri" w:cs="Calibri"/>
          <w:sz w:val="22"/>
          <w:szCs w:val="22"/>
        </w:rPr>
        <w:fldChar w:fldCharType="begin"/>
      </w:r>
      <w:r w:rsidRPr="00496E39">
        <w:rPr>
          <w:rFonts w:ascii="Calibri" w:hAnsi="Calibri" w:cs="Calibri"/>
          <w:sz w:val="22"/>
          <w:szCs w:val="22"/>
          <w:lang w:val="de-DE"/>
        </w:rPr>
        <w:instrText xml:space="preserve"> ADDIN ZOTERO_ITEM CSL_CITATION {"citationID":"ZmVPsSUI","properties":{"formattedCitation":"(Peels 2023)","plainCitation":"(Peels 2023)","dontUpdate":true,"noteIndex":0},"citationItems":[{"id":96,"uris":["http://zotero.org/users/14566843/items/J42UVP3N"],"itemData":{"id":96,"type":"article-journal","abstract":"Abstract\n            This article combines two things: it explores how one should undertake the project of defining ‘fundamentalism’ and, based on the ensuing desiderata, it actually provides such a definition. After a few preliminary comments on ‘fundamentalism’ and the value of defining it, five goals of definitions are distinguished and elucidated: accuracy, precision, fairness, clarity, and fecundity. After that, various kinds of definitions and their interrelations are spelled out. Finally, the author provides and defends a so-called explicative definition of ‘fundamentalism’ both in terms of necessary and sufficient conditions and in terms of stereotypical properties. On the basis of empirical literature and a scoping review, it is argued that a movement is fundamentalist if and only if it is (i) reactionary towards modern developments, (ii) itself modern, and (iii) based on a grand historical narrative. More specifically, a movement is fundamentalist if it exemplifies a large number of the following properties: (i) it is reactionary in its rejection of liberal ethics, science, or technological exploitation; (ii) it is modern in seeking certainty and control, embracing literalism and infallibility about particular scriptures, actively using media and technology, or making universal claims; and (iii) it presents a grand historical narrative in terms of paradise, fall, and redemption, or cosmic dualism.","container-title":"Religious Studies","DOI":"10.1017/S0034412522000683","ISSN":"0034-4125, 1469-901X","issue":"4","journalAbbreviation":"Rel. Stud.","language":"en","page":"729-747","source":"DOI.org (Crossref)","title":"On defining ‘fundamentalism’","volume":"59","author":[{"family":"Peels","given":"Rik"}],"issued":{"date-parts":[["2023",12]]}}}],"schema":"https://github.com/citation-style-language/schema/raw/master/csl-citation.json"} </w:instrText>
      </w:r>
      <w:r w:rsidRPr="00496E39">
        <w:rPr>
          <w:rFonts w:ascii="Calibri" w:hAnsi="Calibri" w:cs="Calibri"/>
          <w:sz w:val="22"/>
          <w:szCs w:val="22"/>
        </w:rPr>
        <w:fldChar w:fldCharType="separate"/>
      </w:r>
      <w:r w:rsidRPr="00496E39">
        <w:rPr>
          <w:rFonts w:ascii="Calibri" w:hAnsi="Calibri" w:cs="Calibri"/>
          <w:sz w:val="22"/>
          <w:szCs w:val="22"/>
          <w:lang w:val="de-DE"/>
        </w:rPr>
        <w:t>(Peels 2023, 730-732)</w:t>
      </w:r>
      <w:r w:rsidRPr="00496E39">
        <w:rPr>
          <w:rFonts w:ascii="Calibri" w:hAnsi="Calibri" w:cs="Calibri"/>
          <w:sz w:val="22"/>
          <w:szCs w:val="22"/>
        </w:rPr>
        <w:fldChar w:fldCharType="end"/>
      </w:r>
      <w:r w:rsidRPr="00496E39">
        <w:rPr>
          <w:rFonts w:ascii="Calibri" w:hAnsi="Calibri" w:cs="Calibri"/>
          <w:sz w:val="22"/>
          <w:szCs w:val="22"/>
          <w:lang w:val="de-DE"/>
        </w:rPr>
        <w:t xml:space="preserve">. Dies spiegelt sich sowohl in der Benennung von Strömungen und Entwicklungen als auch in der quantitativen Auseinandersetzung mit fundamentalistischen Gruppierungen und Gemeinschaften wider. Der Fundamentalismusbegriff an sich wird international diskutiert und teils kritisiert, da er oft als zu unscharf oder zu vereinheitlichend verstanden wird </w:t>
      </w:r>
      <w:r w:rsidRPr="00496E39">
        <w:rPr>
          <w:rFonts w:ascii="Calibri" w:hAnsi="Calibri" w:cs="Calibri"/>
          <w:sz w:val="22"/>
          <w:szCs w:val="22"/>
        </w:rPr>
        <w:fldChar w:fldCharType="begin"/>
      </w:r>
      <w:r w:rsidRPr="00496E39">
        <w:rPr>
          <w:rFonts w:ascii="Calibri" w:hAnsi="Calibri" w:cs="Calibri"/>
          <w:sz w:val="22"/>
          <w:szCs w:val="22"/>
          <w:lang w:val="de-DE"/>
        </w:rPr>
        <w:instrText xml:space="preserve"> ADDIN ZOTERO_ITEM CSL_CITATION {"citationID":"AoG7hBvq","properties":{"formattedCitation":"(Wood und Watt 2014)","plainCitation":"(Wood und Watt 2014)","dontUpdate":true,"noteIndex":0},"citationItems":[{"id":39,"uris":["http://zotero.org/users/local/Q410LiLN/items/ACJBE28Q","http://zotero.org/users/14566843/items/ACJBE28Q"],"itemData":{"id":39,"type":"book","ISBN":"978-1-61117-355-0","note":"DOI: 10.2307/j.ctv6wggnd","publisher":"University of South Carolina Press","source":"DOI.org (Crossref)","title":"Fundamentalism: Perspectives on a Contested History","title-short":"Fundamentalism","URL":"http://www.jstor.org/stable/10.2307/j.ctv6wggnd","editor":[{"family":"Wood","given":"Simon A."},{"family":"Watt","given":"David Harrington"}],"accessed":{"date-parts":[["2025",5,14]]},"issued":{"date-parts":[["2014",5,26]]}}}],"schema":"https://github.com/citation-style-language/schema/raw/master/csl-citation.json"} </w:instrText>
      </w:r>
      <w:r w:rsidRPr="00496E39">
        <w:rPr>
          <w:rFonts w:ascii="Calibri" w:hAnsi="Calibri" w:cs="Calibri"/>
          <w:sz w:val="22"/>
          <w:szCs w:val="22"/>
        </w:rPr>
        <w:fldChar w:fldCharType="separate"/>
      </w:r>
      <w:r w:rsidRPr="00496E39">
        <w:rPr>
          <w:rFonts w:ascii="Calibri" w:hAnsi="Calibri" w:cs="Calibri"/>
          <w:sz w:val="22"/>
          <w:szCs w:val="22"/>
          <w:lang w:val="de-DE"/>
        </w:rPr>
        <w:t>(Wood und Watt 2014, 6)</w:t>
      </w:r>
      <w:r w:rsidRPr="00496E39">
        <w:rPr>
          <w:rFonts w:ascii="Calibri" w:hAnsi="Calibri" w:cs="Calibri"/>
          <w:sz w:val="22"/>
          <w:szCs w:val="22"/>
        </w:rPr>
        <w:fldChar w:fldCharType="end"/>
      </w:r>
      <w:r w:rsidRPr="00496E39">
        <w:rPr>
          <w:rFonts w:ascii="Calibri" w:hAnsi="Calibri" w:cs="Calibri"/>
          <w:sz w:val="22"/>
          <w:szCs w:val="22"/>
          <w:lang w:val="de-DE"/>
        </w:rPr>
        <w:t>. Auch wird debattiert, ob auch nicht-religiös konnotierte Strömungen als fundamentalistisch gelten können (wie z.</w:t>
      </w:r>
      <w:r>
        <w:rPr>
          <w:rFonts w:ascii="Calibri" w:hAnsi="Calibri" w:cs="Calibri"/>
          <w:sz w:val="22"/>
          <w:szCs w:val="22"/>
          <w:lang w:val="de-DE"/>
        </w:rPr>
        <w:t xml:space="preserve"> </w:t>
      </w:r>
      <w:r w:rsidRPr="00496E39">
        <w:rPr>
          <w:rFonts w:ascii="Calibri" w:hAnsi="Calibri" w:cs="Calibri"/>
          <w:sz w:val="22"/>
          <w:szCs w:val="22"/>
          <w:lang w:val="de-DE"/>
        </w:rPr>
        <w:t xml:space="preserve">B. rechtsextremistische Ideologien oder der sog. Marktfundamentalismus). </w:t>
      </w:r>
    </w:p>
    <w:p w14:paraId="4D016824" w14:textId="77777777" w:rsidR="00A768F4" w:rsidRDefault="00A768F4" w:rsidP="00A768F4">
      <w:pPr>
        <w:pStyle w:val="KeinLeerraum"/>
        <w:spacing w:line="276" w:lineRule="auto"/>
        <w:jc w:val="both"/>
        <w:rPr>
          <w:rFonts w:ascii="Calibri" w:hAnsi="Calibri" w:cs="Calibri"/>
          <w:sz w:val="22"/>
          <w:szCs w:val="22"/>
          <w:lang w:val="de-DE"/>
        </w:rPr>
      </w:pPr>
      <w:r w:rsidRPr="00496E39">
        <w:rPr>
          <w:rFonts w:ascii="Calibri" w:hAnsi="Calibri" w:cs="Calibri"/>
          <w:sz w:val="22"/>
          <w:szCs w:val="22"/>
          <w:lang w:val="de-DE"/>
        </w:rPr>
        <w:t xml:space="preserve">Zudem gilt es bei Definitionsversuchen ein breites Spektrum an ideologischen Ausprägungen in fundamentalistischen Bewegungen </w:t>
      </w:r>
      <w:r w:rsidRPr="00496E39">
        <w:rPr>
          <w:rFonts w:ascii="Calibri" w:hAnsi="Calibri" w:cs="Calibri"/>
          <w:sz w:val="22"/>
          <w:szCs w:val="22"/>
        </w:rPr>
        <w:fldChar w:fldCharType="begin"/>
      </w:r>
      <w:r w:rsidRPr="00496E39">
        <w:rPr>
          <w:rFonts w:ascii="Calibri" w:hAnsi="Calibri" w:cs="Calibri"/>
          <w:sz w:val="22"/>
          <w:szCs w:val="22"/>
          <w:lang w:val="de-DE"/>
        </w:rPr>
        <w:instrText xml:space="preserve"> ADDIN ZOTERO_ITEM CSL_CITATION {"citationID":"3iBUXCPk","properties":{"formattedCitation":"(Eisenstadt, 1999)","plainCitation":"(Eisenstadt, 1999)","dontUpdate":true,"noteIndex":0},"citationItems":[{"id":90,"uris":["http://zotero.org/users/14566843/items/DQFRICSC"],"itemData":{"id":90,"type":"book","abstract":"Fundamentalism, Sectarianism, and Revolution is a major comparative analysis of fundamentalist movements in cultural and political context, with an emphasis on the contemporary scene. Leading sociologist S. N. Eisenstadt examines the meaning of the global rise of fundamentalism as one very forceful contemporary response to tensions in modernity and the dynamics of civilization. He compares modern fundamentalist movements with the proto-fundamentalist movements which arose in the 'axial civilizations' in pre-modern times; he shows how the great revolutions in Europe which arose in connection with these movements shaped the political and cultural programmes of modernity; and he contrasts post-Second World War Moslem, Jewish and Protestant fundamentalist movements with communal national movements, notably in Asia. The central theme of the book is the distinctively Jacobin features of fundamentalist movements and their ambivalent attitude to tradition: above all their attempts to essentialize tradition in an ideologically totalistic way. Eisenstadt has won the Amalfi book prize","collection-title":"Cambridge cultural social studies","event-place":"Cambridge","ISBN":"978-0-511-52082-2","language":"eng","note":"DOI: 10.1017/CBO9780511520822","number-of-pages":"1","publisher":"Cambridge University Press","publisher-place":"Cambridge","source":"K10plus ISBN","title":"Fundamentalism, sectarianism, and revolution: the Jacobin dimension of modernity","title-short":"Fundamentalism, sectarianism, and revolution","author":[{"family":"Eisenstadt","given":"S."}],"issued":{"date-parts":[["1999"]]}}}],"schema":"https://github.com/citation-style-language/schema/raw/master/csl-citation.json"} </w:instrText>
      </w:r>
      <w:r w:rsidRPr="00496E39">
        <w:rPr>
          <w:rFonts w:ascii="Calibri" w:hAnsi="Calibri" w:cs="Calibri"/>
          <w:sz w:val="22"/>
          <w:szCs w:val="22"/>
        </w:rPr>
        <w:fldChar w:fldCharType="separate"/>
      </w:r>
      <w:r w:rsidRPr="00496E39">
        <w:rPr>
          <w:rFonts w:ascii="Calibri" w:hAnsi="Calibri" w:cs="Calibri"/>
          <w:sz w:val="22"/>
          <w:szCs w:val="22"/>
          <w:lang w:val="de-DE"/>
        </w:rPr>
        <w:t>(Eisenstadt 1999, 115-118)</w:t>
      </w:r>
      <w:r w:rsidRPr="00496E39">
        <w:rPr>
          <w:rFonts w:ascii="Calibri" w:hAnsi="Calibri" w:cs="Calibri"/>
          <w:sz w:val="22"/>
          <w:szCs w:val="22"/>
        </w:rPr>
        <w:fldChar w:fldCharType="end"/>
      </w:r>
      <w:r w:rsidRPr="00496E39">
        <w:rPr>
          <w:rFonts w:ascii="Calibri" w:hAnsi="Calibri" w:cs="Calibri"/>
          <w:sz w:val="22"/>
          <w:szCs w:val="22"/>
          <w:lang w:val="de-DE"/>
        </w:rPr>
        <w:t xml:space="preserve"> zu beachten, </w:t>
      </w:r>
      <w:r>
        <w:rPr>
          <w:rFonts w:ascii="Calibri" w:hAnsi="Calibri" w:cs="Calibri"/>
          <w:sz w:val="22"/>
          <w:szCs w:val="22"/>
          <w:lang w:val="de-DE"/>
        </w:rPr>
        <w:t>die</w:t>
      </w:r>
      <w:r w:rsidRPr="00496E39">
        <w:rPr>
          <w:rFonts w:ascii="Calibri" w:hAnsi="Calibri" w:cs="Calibri"/>
          <w:sz w:val="22"/>
          <w:szCs w:val="22"/>
          <w:lang w:val="de-DE"/>
        </w:rPr>
        <w:t xml:space="preserve"> Kategorisierungen erschweren können. Eine begriffliche Auseinandersetzung ist dennoch aus mehreren Gründen unerlässlich: Sie ermöglicht eine analytische Trennschärfe gegenüber konservativ-religiösen Strömungen, schafft die Voraussetzung für eine systematische Kategorisierung und bildet die Grundlage für den Versuch Ableitungen für den Bildungskontext zu ziehen. Vor diesem Hintergrund widmet sich dieses Kapitel zunächst der konzeptuellen Bestimmung des Begriffs Fundamentalismus. Neben Rik Peels  </w:t>
      </w:r>
      <w:r w:rsidRPr="00496E39">
        <w:rPr>
          <w:rFonts w:ascii="Calibri" w:hAnsi="Calibri" w:cs="Calibri"/>
          <w:i/>
          <w:iCs/>
          <w:color w:val="000000" w:themeColor="text1"/>
          <w:sz w:val="22"/>
          <w:szCs w:val="21"/>
          <w:lang w:val="de-DE"/>
        </w:rPr>
        <w:t>‘BicFam’-Definition</w:t>
      </w:r>
      <w:r w:rsidRPr="00496E39">
        <w:rPr>
          <w:rFonts w:cs="Calibri"/>
          <w:color w:val="000000" w:themeColor="text1"/>
          <w:sz w:val="22"/>
          <w:szCs w:val="21"/>
          <w:lang w:val="de-DE"/>
        </w:rPr>
        <w:t xml:space="preserve"> </w:t>
      </w:r>
      <w:r w:rsidRPr="00496E39">
        <w:rPr>
          <w:rFonts w:ascii="Calibri" w:hAnsi="Calibri" w:cs="Calibri"/>
          <w:sz w:val="22"/>
          <w:szCs w:val="22"/>
          <w:lang w:val="de-DE"/>
        </w:rPr>
        <w:t xml:space="preserve">werden grundlegende Arbeiten wie das </w:t>
      </w:r>
      <w:r w:rsidRPr="00496E39">
        <w:rPr>
          <w:rFonts w:ascii="Calibri" w:hAnsi="Calibri" w:cs="Calibri"/>
          <w:i/>
          <w:iCs/>
          <w:sz w:val="22"/>
          <w:szCs w:val="22"/>
          <w:lang w:val="de-DE"/>
        </w:rPr>
        <w:t>Fundamentalism Projekt</w:t>
      </w:r>
      <w:r w:rsidRPr="00496E39">
        <w:rPr>
          <w:rFonts w:ascii="Calibri" w:hAnsi="Calibri" w:cs="Calibri"/>
          <w:sz w:val="22"/>
          <w:szCs w:val="22"/>
          <w:lang w:val="de-DE"/>
        </w:rPr>
        <w:t xml:space="preserve"> von Martin E. Marty und R. Scott Appleby </w:t>
      </w:r>
      <w:r w:rsidRPr="00496E39">
        <w:rPr>
          <w:rFonts w:ascii="Calibri" w:hAnsi="Calibri" w:cs="Calibri"/>
          <w:sz w:val="22"/>
          <w:szCs w:val="22"/>
        </w:rPr>
        <w:fldChar w:fldCharType="begin"/>
      </w:r>
      <w:r w:rsidRPr="00496E39">
        <w:rPr>
          <w:rFonts w:ascii="Calibri" w:hAnsi="Calibri" w:cs="Calibri"/>
          <w:sz w:val="22"/>
          <w:szCs w:val="22"/>
          <w:lang w:val="de-DE"/>
        </w:rPr>
        <w:instrText xml:space="preserve"> ADDIN ZOTERO_ITEM CSL_CITATION {"citationID":"wnfGLf5V","properties":{"formattedCitation":"(Marty &amp; Appleby, 1995)","plainCitation":"(Marty &amp; Appleby, 1995)","dontUpdate":true,"noteIndex":0},"citationItems":[{"id":77,"uris":["http://zotero.org/users/14566843/items/77H6ZEM5"],"itemData":{"id":77,"type":"book","call-number":"201.709 04","collection-number":"5","collection-title":"The fundamentalism project","event-place":"Chicago","ISBN":"978-0-226-50887-0","language":"eng","publisher":"University of Chicago Press","publisher-place":"Chicago","source":"BnF ISBN","title":"Fundamentalisms comprehended","author":[{"family":"Marty","given":"Martin E."},{"family":"Appleby","given":"R. Scott"},{"family":"Sivan","given":"Emmanuel"}],"contributor":[{"literal":"American academy of arts and sciences"}],"issued":{"date-parts":[["1995"]]}}}],"schema":"https://github.com/citation-style-language/schema/raw/master/csl-citation.json"} </w:instrText>
      </w:r>
      <w:r w:rsidRPr="00496E39">
        <w:rPr>
          <w:rFonts w:ascii="Calibri" w:hAnsi="Calibri" w:cs="Calibri"/>
          <w:sz w:val="22"/>
          <w:szCs w:val="22"/>
        </w:rPr>
        <w:fldChar w:fldCharType="separate"/>
      </w:r>
      <w:r w:rsidRPr="00496E39">
        <w:rPr>
          <w:rFonts w:ascii="Calibri" w:hAnsi="Calibri" w:cs="Calibri"/>
          <w:sz w:val="22"/>
          <w:szCs w:val="22"/>
          <w:lang w:val="de-DE"/>
        </w:rPr>
        <w:t>(1991-1995)</w:t>
      </w:r>
      <w:r w:rsidRPr="00496E39">
        <w:rPr>
          <w:rFonts w:ascii="Calibri" w:hAnsi="Calibri" w:cs="Calibri"/>
          <w:sz w:val="22"/>
          <w:szCs w:val="22"/>
        </w:rPr>
        <w:fldChar w:fldCharType="end"/>
      </w:r>
      <w:r w:rsidRPr="00496E39">
        <w:rPr>
          <w:rFonts w:ascii="Calibri" w:hAnsi="Calibri" w:cs="Calibri"/>
          <w:sz w:val="22"/>
          <w:szCs w:val="22"/>
          <w:lang w:val="de-DE"/>
        </w:rPr>
        <w:t xml:space="preserve"> ergänzend hinzugezogen.</w:t>
      </w:r>
    </w:p>
    <w:p w14:paraId="4A050DF6" w14:textId="77777777" w:rsidR="00A768F4" w:rsidRPr="00984196" w:rsidRDefault="00A768F4" w:rsidP="0000208E">
      <w:pPr>
        <w:pStyle w:val="berschrift2"/>
        <w:numPr>
          <w:ilvl w:val="0"/>
          <w:numId w:val="0"/>
        </w:numPr>
        <w:spacing w:after="160"/>
        <w:ind w:left="576" w:hanging="576"/>
        <w:rPr>
          <w:rFonts w:asciiTheme="minorHAnsi" w:hAnsiTheme="minorHAnsi" w:cstheme="minorHAnsi"/>
          <w:sz w:val="26"/>
          <w:szCs w:val="26"/>
        </w:rPr>
      </w:pPr>
      <w:bookmarkStart w:id="75" w:name="_Toc215819934"/>
      <w:r w:rsidRPr="00984196">
        <w:rPr>
          <w:rFonts w:asciiTheme="minorHAnsi" w:hAnsiTheme="minorHAnsi" w:cstheme="minorHAnsi"/>
          <w:color w:val="016D72"/>
          <w:sz w:val="26"/>
          <w:szCs w:val="26"/>
        </w:rPr>
        <w:t>2.1. ‚BicFam‘-Definition</w:t>
      </w:r>
      <w:bookmarkEnd w:id="75"/>
    </w:p>
    <w:p w14:paraId="3EF56AE3" w14:textId="77777777" w:rsidR="00A768F4" w:rsidRPr="007C1C73" w:rsidRDefault="00A768F4" w:rsidP="00A768F4">
      <w:pPr>
        <w:spacing w:line="276" w:lineRule="auto"/>
        <w:jc w:val="both"/>
        <w:rPr>
          <w:rFonts w:cs="Calibri"/>
          <w:color w:val="000000" w:themeColor="text1"/>
        </w:rPr>
      </w:pPr>
      <w:r w:rsidRPr="007C1C73">
        <w:rPr>
          <w:rFonts w:cs="Calibri"/>
          <w:color w:val="000000" w:themeColor="text1"/>
        </w:rPr>
        <w:t xml:space="preserve">Die </w:t>
      </w:r>
      <w:r>
        <w:rPr>
          <w:rFonts w:cs="Calibri"/>
          <w:i/>
          <w:iCs/>
          <w:color w:val="000000" w:themeColor="text1"/>
        </w:rPr>
        <w:t>‚</w:t>
      </w:r>
      <w:r w:rsidRPr="00383D2F">
        <w:rPr>
          <w:rFonts w:cs="Calibri"/>
          <w:i/>
          <w:iCs/>
          <w:color w:val="000000" w:themeColor="text1"/>
        </w:rPr>
        <w:t xml:space="preserve">BicFam’-Definition </w:t>
      </w:r>
      <w:r w:rsidRPr="007C1C73">
        <w:rPr>
          <w:rFonts w:cs="Calibri"/>
          <w:color w:val="000000" w:themeColor="text1"/>
        </w:rPr>
        <w:t xml:space="preserve">versteht Fundamentalismus als ein Phänomen, das sich sowohl durch notwendige und hinreichende Bedingungen (Biconditional), als auch durch eine Familienähnlichkeit typischer Merkmale (Family resemblance) charakterisieren lässt, wodurch sowohl zentrale Ausprägungen als auch Grenzfälle differenziert erfassbar werden. </w:t>
      </w:r>
    </w:p>
    <w:p w14:paraId="68125C1B" w14:textId="77777777" w:rsidR="00A768F4" w:rsidRPr="007C1C73" w:rsidRDefault="00A768F4" w:rsidP="00A768F4">
      <w:pPr>
        <w:spacing w:line="276" w:lineRule="auto"/>
        <w:ind w:left="720"/>
        <w:jc w:val="both"/>
        <w:rPr>
          <w:rFonts w:cs="Calibri"/>
          <w:color w:val="000000" w:themeColor="text1"/>
        </w:rPr>
      </w:pPr>
      <w:r w:rsidRPr="007C1C73">
        <w:rPr>
          <w:rFonts w:cs="Calibri"/>
          <w:color w:val="000000" w:themeColor="text1"/>
        </w:rPr>
        <w:t xml:space="preserve">„Genauer gesagt ist eine Bewegung dann fundamentalistisch, wenn sie eine große Anzahl der folgenden Merkmale aufweist: (i) Sie ist reaktionär in ihrer Ablehnung liberaler Ethik, der Wissenschaft oder des technologischen Fortschritts, (ii) sie ist modern in ihrem Streben nach Gewissheit und Kontrolle, etwa durch Literalismus und Unfehlbarkeitsansprüche gegenüber </w:t>
      </w:r>
      <w:r w:rsidRPr="007C1C73">
        <w:rPr>
          <w:rFonts w:cs="Calibri"/>
          <w:color w:val="000000" w:themeColor="text1"/>
        </w:rPr>
        <w:lastRenderedPageBreak/>
        <w:t>bestimmten Schriften, durch den aktiven Einsatz von Medien und Technologie oder durch universale Geltungsansprüche, und (iii) sie vertritt eine große geschichtliche Erzählung im Sinne von Paradies, Sündenfall und Erlösung oder einem kosmischen Dualismus.“</w:t>
      </w:r>
      <w:r w:rsidRPr="007C1C73">
        <w:rPr>
          <w:rStyle w:val="Funotenzeichen"/>
          <w:rFonts w:cs="Calibri"/>
          <w:color w:val="000000" w:themeColor="text1"/>
        </w:rPr>
        <w:footnoteReference w:id="34"/>
      </w:r>
      <w:r w:rsidRPr="007C1C73">
        <w:rPr>
          <w:rFonts w:cs="Calibri"/>
          <w:color w:val="000000" w:themeColor="text1"/>
        </w:rPr>
        <w:t xml:space="preserve">  </w:t>
      </w:r>
      <w:r w:rsidRPr="007C1C73">
        <w:rPr>
          <w:rFonts w:cs="Calibri"/>
          <w:color w:val="000000" w:themeColor="text1"/>
        </w:rPr>
        <w:fldChar w:fldCharType="begin"/>
      </w:r>
      <w:r w:rsidRPr="007C1C73">
        <w:rPr>
          <w:rFonts w:cs="Calibri"/>
          <w:color w:val="000000" w:themeColor="text1"/>
        </w:rPr>
        <w:instrText xml:space="preserve"> ADDIN ZOTERO_ITEM CSL_CITATION {"citationID":"a21gsp7es2h","properties":{"formattedCitation":"\\uldash{(Peels 2023)}","plainCitation":"(Peels 2023)","dontUpdate":true,"noteIndex":0},"citationItems":[{"id":96,"uris":["http://zotero.org/users/14566843/items/J42UVP3N"],"itemData":{"id":96,"type":"article-journal","abstract":"Abstract\n            This article combines two things: it explores how one should undertake the project of defining ‘fundamentalism’ and, based on the ensuing desiderata, it actually provides such a definition. After a few preliminary comments on ‘fundamentalism’ and the value of defining it, five goals of definitions are distinguished and elucidated: accuracy, precision, fairness, clarity, and fecundity. After that, various kinds of definitions and their interrelations are spelled out. Finally, the author provides and defends a so-called explicative definition of ‘fundamentalism’ both in terms of necessary and sufficient conditions and in terms of stereotypical properties. On the basis of empirical literature and a scoping review, it is argued that a movement is fundamentalist if and only if it is (i) reactionary towards modern developments, (ii) itself modern, and (iii) based on a grand historical narrative. More specifically, a movement is fundamentalist if it exemplifies a large number of the following properties: (i) it is reactionary in its rejection of liberal ethics, science, or technological exploitation; (ii) it is modern in seeking certainty and control, embracing literalism and infallibility about particular scriptures, actively using media and technology, or making universal claims; and (iii) it presents a grand historical narrative in terms of paradise, fall, and redemption, or cosmic dualism.","container-title":"Religious Studies","DOI":"10.1017/S0034412522000683","ISSN":"0034-4125, 1469-901X","issue":"4","journalAbbreviation":"Rel. Stud.","language":"en","page":"729-747","source":"DOI.org (Crossref)","title":"On defining ‘fundamentalism’","volume":"59","author":[{"family":"Peels","given":"Rik"}],"issued":{"date-parts":[["2023",12]]}}}],"schema":"https://github.com/citation-style-language/schema/raw/master/csl-citation.json"} </w:instrText>
      </w:r>
      <w:r w:rsidRPr="007C1C73">
        <w:rPr>
          <w:rFonts w:cs="Calibri"/>
          <w:color w:val="000000" w:themeColor="text1"/>
        </w:rPr>
        <w:fldChar w:fldCharType="separate"/>
      </w:r>
      <w:r w:rsidRPr="007C1C73">
        <w:rPr>
          <w:rFonts w:cs="Calibri"/>
          <w:color w:val="000000"/>
          <w:u w:val="dash"/>
        </w:rPr>
        <w:t>(</w:t>
      </w:r>
      <w:r w:rsidRPr="007C1C73">
        <w:rPr>
          <w:rFonts w:cs="Calibri"/>
          <w:color w:val="000000"/>
        </w:rPr>
        <w:t xml:space="preserve">Peels 2023, </w:t>
      </w:r>
      <w:r w:rsidRPr="007C1C73">
        <w:rPr>
          <w:rFonts w:cs="Calibri"/>
          <w:color w:val="000000" w:themeColor="text1"/>
        </w:rPr>
        <w:t>743</w:t>
      </w:r>
      <w:r w:rsidRPr="007C1C73">
        <w:rPr>
          <w:rFonts w:cs="Calibri"/>
          <w:color w:val="000000"/>
        </w:rPr>
        <w:t>)</w:t>
      </w:r>
      <w:r w:rsidRPr="007C1C73">
        <w:rPr>
          <w:rFonts w:cs="Calibri"/>
          <w:color w:val="000000" w:themeColor="text1"/>
        </w:rPr>
        <w:fldChar w:fldCharType="end"/>
      </w:r>
    </w:p>
    <w:p w14:paraId="23646941" w14:textId="77777777" w:rsidR="00A768F4" w:rsidRPr="007C1C73" w:rsidRDefault="00A768F4" w:rsidP="00A768F4">
      <w:pPr>
        <w:spacing w:line="276" w:lineRule="auto"/>
        <w:jc w:val="both"/>
        <w:rPr>
          <w:rFonts w:cs="Calibri"/>
          <w:color w:val="000000" w:themeColor="text1"/>
        </w:rPr>
      </w:pPr>
      <w:r w:rsidRPr="007C1C73">
        <w:rPr>
          <w:rFonts w:cs="Calibri"/>
          <w:color w:val="000000" w:themeColor="text1"/>
        </w:rPr>
        <w:t>Im Folgenden werden die drei Hauptmerkmale der Definition vertiefend beschrieben</w:t>
      </w:r>
      <w:r>
        <w:rPr>
          <w:rFonts w:cs="Calibri"/>
          <w:color w:val="000000" w:themeColor="text1"/>
        </w:rPr>
        <w:t xml:space="preserve">, die </w:t>
      </w:r>
      <w:r w:rsidRPr="007C1C73">
        <w:rPr>
          <w:rFonts w:cs="Calibri"/>
          <w:color w:val="000000" w:themeColor="text1"/>
        </w:rPr>
        <w:t>im Anschluss als theoretische Grundlage für</w:t>
      </w:r>
      <w:r>
        <w:rPr>
          <w:rFonts w:cs="Calibri"/>
          <w:color w:val="000000" w:themeColor="text1"/>
        </w:rPr>
        <w:t xml:space="preserve"> die Analyse</w:t>
      </w:r>
      <w:r w:rsidRPr="007C1C73">
        <w:rPr>
          <w:rFonts w:cs="Calibri"/>
          <w:color w:val="000000" w:themeColor="text1"/>
        </w:rPr>
        <w:t xml:space="preserve"> aktuelle</w:t>
      </w:r>
      <w:r>
        <w:rPr>
          <w:rFonts w:cs="Calibri"/>
          <w:color w:val="000000" w:themeColor="text1"/>
        </w:rPr>
        <w:t>r</w:t>
      </w:r>
      <w:r w:rsidRPr="007C1C73">
        <w:rPr>
          <w:rFonts w:cs="Calibri"/>
          <w:color w:val="000000" w:themeColor="text1"/>
        </w:rPr>
        <w:t xml:space="preserve"> Bewegungen und </w:t>
      </w:r>
      <w:r>
        <w:rPr>
          <w:rFonts w:cs="Calibri"/>
          <w:color w:val="000000" w:themeColor="text1"/>
        </w:rPr>
        <w:t>pädagogischer Ableitungen</w:t>
      </w:r>
      <w:r w:rsidRPr="007C1C73">
        <w:rPr>
          <w:rFonts w:cs="Calibri"/>
          <w:color w:val="000000" w:themeColor="text1"/>
        </w:rPr>
        <w:t xml:space="preserve"> dienen. </w:t>
      </w:r>
    </w:p>
    <w:p w14:paraId="5E26963D" w14:textId="77777777" w:rsidR="00A768F4" w:rsidRPr="00FB128B" w:rsidRDefault="00A768F4" w:rsidP="00A768F4">
      <w:pPr>
        <w:pStyle w:val="Listenabsatz"/>
        <w:numPr>
          <w:ilvl w:val="0"/>
          <w:numId w:val="23"/>
        </w:numPr>
        <w:spacing w:after="160" w:line="278" w:lineRule="auto"/>
        <w:rPr>
          <w:rFonts w:cs="Calibri"/>
          <w:sz w:val="22"/>
          <w:szCs w:val="22"/>
          <w:lang w:val="de-DE"/>
        </w:rPr>
      </w:pPr>
      <w:r w:rsidRPr="00FB128B">
        <w:rPr>
          <w:rFonts w:cs="Calibri"/>
          <w:sz w:val="22"/>
          <w:szCs w:val="22"/>
          <w:lang w:val="de-DE"/>
        </w:rPr>
        <w:t>Reaktionär</w:t>
      </w:r>
    </w:p>
    <w:p w14:paraId="095E81C6" w14:textId="77777777" w:rsidR="00A768F4" w:rsidRPr="00496E39" w:rsidRDefault="00A768F4" w:rsidP="00A768F4">
      <w:pPr>
        <w:spacing w:line="276" w:lineRule="auto"/>
        <w:jc w:val="both"/>
        <w:rPr>
          <w:rFonts w:cs="Calibri"/>
        </w:rPr>
      </w:pPr>
      <w:r w:rsidRPr="00496E39">
        <w:rPr>
          <w:rFonts w:cs="Calibri"/>
        </w:rPr>
        <w:t xml:space="preserve">Religiöser Fundamentalismus steht zumeist in Opposition zu modernen Entwicklungen oder Lebensentwürfen </w:t>
      </w:r>
      <w:r w:rsidRPr="00496E39">
        <w:rPr>
          <w:rFonts w:cs="Calibri"/>
        </w:rPr>
        <w:fldChar w:fldCharType="begin"/>
      </w:r>
      <w:r w:rsidRPr="00496E39">
        <w:rPr>
          <w:rFonts w:cs="Calibri"/>
        </w:rPr>
        <w:instrText xml:space="preserve"> ADDIN ZOTERO_ITEM CSL_CITATION {"citationID":"fzZCgcy5","properties":{"formattedCitation":"(Almond u.\\uc0\\u160{}a. 2003)","plainCitation":"(Almond u. a. 2003)","dontUpdate":true,"noteIndex":0},"citationItems":[{"id":94,"uris":["http://zotero.org/users/14566843/items/9FX265UP"],"itemData":{"id":94,"type":"book","call-number":"BL238 .A28 2003","event-place":"Chicago","ISBN":"978-0-226-01497-5","number-of-pages":"281","publisher":"University of Chicago Press","publisher-place":"Chicago","source":"Library of Congress ISBN","title":"Strong religion: the rise of fundamentalisms around the world","title-short":"Strong religion","author":[{"family":"Almond","given":"Gabriel A."},{"family":"Appleby","given":"R. Scott"},{"family":"Sivan","given":"Emmanuel"}],"issued":{"date-parts":[["2003"]]}}}],"schema":"https://github.com/citation-style-language/schema/raw/master/csl-citation.json"} </w:instrText>
      </w:r>
      <w:r w:rsidRPr="00496E39">
        <w:rPr>
          <w:rFonts w:cs="Calibri"/>
        </w:rPr>
        <w:fldChar w:fldCharType="separate"/>
      </w:r>
      <w:r w:rsidRPr="00496E39">
        <w:rPr>
          <w:rFonts w:cs="Calibri"/>
        </w:rPr>
        <w:t>(Almond et al. 2003)</w:t>
      </w:r>
      <w:r w:rsidRPr="00496E39">
        <w:rPr>
          <w:rFonts w:cs="Calibri"/>
        </w:rPr>
        <w:fldChar w:fldCharType="end"/>
      </w:r>
      <w:r w:rsidRPr="00496E39">
        <w:rPr>
          <w:rFonts w:cs="Calibri"/>
        </w:rPr>
        <w:t xml:space="preserve">. Die Begriffe </w:t>
      </w:r>
      <w:r w:rsidRPr="00496E39">
        <w:rPr>
          <w:rFonts w:cs="Calibri"/>
          <w:i/>
          <w:iCs/>
        </w:rPr>
        <w:t>Modern</w:t>
      </w:r>
      <w:r w:rsidRPr="00496E39">
        <w:rPr>
          <w:rFonts w:cs="Calibri"/>
        </w:rPr>
        <w:t xml:space="preserve"> oder </w:t>
      </w:r>
      <w:r w:rsidRPr="00496E39">
        <w:rPr>
          <w:rFonts w:cs="Calibri"/>
          <w:i/>
          <w:iCs/>
        </w:rPr>
        <w:t>Moderne</w:t>
      </w:r>
      <w:r w:rsidRPr="00496E39">
        <w:rPr>
          <w:rFonts w:cs="Calibri"/>
        </w:rPr>
        <w:t xml:space="preserve"> werden häufig genutzt, um die aktuelle Zeit oder Epoche von vorausgegangenen zu unterscheiden </w:t>
      </w:r>
      <w:r w:rsidRPr="00496E39">
        <w:rPr>
          <w:rFonts w:cs="Calibri"/>
        </w:rPr>
        <w:fldChar w:fldCharType="begin"/>
      </w:r>
      <w:r w:rsidRPr="00496E39">
        <w:rPr>
          <w:rFonts w:cs="Calibri"/>
        </w:rPr>
        <w:instrText xml:space="preserve"> ADDIN ZOTERO_ITEM CSL_CITATION {"citationID":"a11uhevcvjm","properties":{"formattedCitation":"\\uldash{(Habermas und Ben-Habib 1981)}","plainCitation":"(Habermas und Ben-Habib 1981)","dontUpdate":true,"noteIndex":0},"citationItems":[{"id":359,"uris":["http://zotero.org/users/14566843/items/7NFRZ6R8"],"itemData":{"id":359,"type":"article-journal","container-title":"New German Critique","DOI":"10.2307/487859","ISSN":"0094033X","issue":"22","journalAbbreviation":"New German Critique","page":"3","source":"DOI.org (Crossref)","title":"Modernity versus Postmodernity","author":[{"family":"Habermas","given":"Jurgen"},{"family":"Ben-Habib","given":"Seyla"}],"issued":{"date-parts":[["1981"]]}}}],"schema":"https://github.com/citation-style-language/schema/raw/master/csl-citation.json"} </w:instrText>
      </w:r>
      <w:r w:rsidRPr="00496E39">
        <w:rPr>
          <w:rFonts w:cs="Calibri"/>
        </w:rPr>
        <w:fldChar w:fldCharType="separate"/>
      </w:r>
      <w:r w:rsidRPr="00496E39">
        <w:rPr>
          <w:rFonts w:cs="Calibri"/>
        </w:rPr>
        <w:t>(Habermas und Ben-Habib 1981, 3)</w:t>
      </w:r>
      <w:r w:rsidRPr="00496E39">
        <w:rPr>
          <w:rFonts w:cs="Calibri"/>
        </w:rPr>
        <w:fldChar w:fldCharType="end"/>
      </w:r>
      <w:r w:rsidRPr="00496E39">
        <w:rPr>
          <w:rFonts w:cs="Calibri"/>
        </w:rPr>
        <w:t xml:space="preserve">. Auch hier wird unter dem Terminus eine zeitgenössische Neigung bzw. der gesellschaftliche Zeitgeist </w:t>
      </w:r>
      <w:r w:rsidRPr="00496E39">
        <w:rPr>
          <w:rFonts w:cs="Calibri"/>
        </w:rPr>
        <w:fldChar w:fldCharType="begin"/>
      </w:r>
      <w:r w:rsidRPr="00496E39">
        <w:rPr>
          <w:rFonts w:cs="Calibri"/>
        </w:rPr>
        <w:instrText xml:space="preserve"> ADDIN ZOTERO_ITEM CSL_CITATION {"citationID":"a2kklofjm9u","properties":{"formattedCitation":"\\uldash{(Kr\\uc0\\u252{}ger 2006)}","plainCitation":"(Krüger 2006)","dontUpdate":true,"noteIndex":0},"citationItems":[{"id":229,"uris":["http://zotero.org/users/14566843/items/EWLEBDTX"],"itemData":{"id":229,"type":"article-journal","abstract":"The article presents the outline of a comparative framework for the understanding of religious fundamentalism. The argument is developed around the interrelated aspects of macro-historical religious context, socio-religious context, and the context of religious tradition as a primary dimension of religion. In those overlapping contexts, the possibility of fundamentalism is explained with refe-rence to pre-disposing, precipitating and perpetuating conditions. In terms of the dimension of religious tradition, fundamentalism is expounded in terms of the following three aspects: education, inter-pretation and identity-definition. Fundamentalism emerges as an awkward mix (not a creative synthesis) of traditional and modernist elements in the present breach - with its peculiar characteristics, crises and threats - between epochs.","container-title":"Verbum et Ecclesia","DOI":"10.4102/ve.v27i3.192","ISSN":"2074-7705, 1609-9982","issue":"3","journalAbbreviation":"Verbum Eccles.","license":"https://creativecommons.org/licenses/by/4.0","page":"886-908","source":"DOI.org (Crossref)","title":"Religious fundamentalism: Aspects of a comparative framework of understanding","title-short":"Religious fundamentalism","volume":"27","author":[{"family":"Krüger","given":"J S"}],"issued":{"date-parts":[["2006",9,30]]}}}],"schema":"https://github.com/citation-style-language/schema/raw/master/csl-citation.json"} </w:instrText>
      </w:r>
      <w:r w:rsidRPr="00496E39">
        <w:rPr>
          <w:rFonts w:cs="Calibri"/>
        </w:rPr>
        <w:fldChar w:fldCharType="separate"/>
      </w:r>
      <w:r w:rsidRPr="00496E39">
        <w:rPr>
          <w:rFonts w:cs="Calibri"/>
        </w:rPr>
        <w:t>(Krüger 2006, 888)</w:t>
      </w:r>
      <w:r w:rsidRPr="00496E39">
        <w:rPr>
          <w:rFonts w:cs="Calibri"/>
        </w:rPr>
        <w:fldChar w:fldCharType="end"/>
      </w:r>
      <w:r w:rsidRPr="00496E39">
        <w:rPr>
          <w:rFonts w:cs="Calibri"/>
        </w:rPr>
        <w:t xml:space="preserve"> verstanden. Mehr noch ein transformatorischer Prozess der besonders das „Wachstum der Vernunft“ und </w:t>
      </w:r>
      <w:r>
        <w:rPr>
          <w:rFonts w:cs="Calibri"/>
        </w:rPr>
        <w:t xml:space="preserve">den </w:t>
      </w:r>
      <w:r w:rsidRPr="00496E39">
        <w:rPr>
          <w:rFonts w:cs="Calibri"/>
        </w:rPr>
        <w:t xml:space="preserve">Individualismus in den Mittelpunkt stellt. Letzterer laut </w:t>
      </w:r>
      <w:r w:rsidRPr="00496E39">
        <w:rPr>
          <w:rFonts w:cs="Calibri"/>
        </w:rPr>
        <w:fldChar w:fldCharType="begin"/>
      </w:r>
      <w:r w:rsidRPr="00496E39">
        <w:rPr>
          <w:rFonts w:cs="Calibri"/>
        </w:rPr>
        <w:instrText xml:space="preserve"> ADDIN ZOTERO_ITEM CSL_CITATION {"citationID":"a1sq7lsqkfr","properties":{"formattedCitation":"\\uldash{(Taylor 1995)}","plainCitation":"(Taylor 1995)","dontUpdate":true,"noteIndex":0},"citationItems":[{"id":355,"uris":["http://zotero.org/users/14566843/items/CLVZPQ2B"],"itemData":{"id":355,"type":"article-journal","container-title":"The Hastings Center Report","ISSN":"0093-0334","issue":"2","journalAbbreviation":"Hastings Cent Rep","language":"eng","note":"PMID: 7782199","page":"24-33","source":"PubMed","title":"Two theories of modernity","volume":"25","author":[{"family":"Taylor","given":"C."}],"issued":{"date-parts":[["1995"]]}}}],"schema":"https://github.com/citation-style-language/schema/raw/master/csl-citation.json"} </w:instrText>
      </w:r>
      <w:r w:rsidRPr="00496E39">
        <w:rPr>
          <w:rFonts w:cs="Calibri"/>
        </w:rPr>
        <w:fldChar w:fldCharType="separate"/>
      </w:r>
      <w:r w:rsidRPr="00496E39">
        <w:rPr>
          <w:rFonts w:cs="Calibri"/>
        </w:rPr>
        <w:t>Charles Taylor (1995, 25)</w:t>
      </w:r>
      <w:r w:rsidRPr="00496E39">
        <w:rPr>
          <w:rFonts w:cs="Calibri"/>
        </w:rPr>
        <w:fldChar w:fldCharType="end"/>
      </w:r>
      <w:r w:rsidRPr="00496E39">
        <w:rPr>
          <w:rFonts w:cs="Calibri"/>
        </w:rPr>
        <w:t xml:space="preserve"> unter anderem erwachsen </w:t>
      </w:r>
      <w:r>
        <w:rPr>
          <w:rFonts w:cs="Calibri"/>
        </w:rPr>
        <w:t>aus</w:t>
      </w:r>
      <w:r w:rsidRPr="00496E39">
        <w:rPr>
          <w:rFonts w:cs="Calibri"/>
        </w:rPr>
        <w:t xml:space="preserve"> zunehmende</w:t>
      </w:r>
      <w:r>
        <w:rPr>
          <w:rFonts w:cs="Calibri"/>
        </w:rPr>
        <w:t>n</w:t>
      </w:r>
      <w:r w:rsidRPr="00496E39">
        <w:rPr>
          <w:rFonts w:cs="Calibri"/>
        </w:rPr>
        <w:t xml:space="preserve"> Säkularisierungstendenzen einer Gesellschaft, die sich auf der Suche nach Klarheit und Kontrolle befindet. In diesem Kontext kann reaktionäres Verhalten gegenüber liberalen und ethischen Entwicklungen, etwa in Fragen der Geschlechtergerechtigkeit, sexuellen Orientierung oder geschlechtlichen Vielfalt, als vermeintliche Kritik an einem </w:t>
      </w:r>
      <w:r w:rsidRPr="00496E39">
        <w:rPr>
          <w:rFonts w:cs="Calibri"/>
          <w:i/>
          <w:iCs/>
        </w:rPr>
        <w:t>moralischen Niedergang</w:t>
      </w:r>
      <w:r w:rsidRPr="00496E39">
        <w:rPr>
          <w:rFonts w:cs="Calibri"/>
        </w:rPr>
        <w:t xml:space="preserve"> oder an einem </w:t>
      </w:r>
      <w:r w:rsidRPr="00496E39">
        <w:rPr>
          <w:rFonts w:cs="Calibri"/>
          <w:i/>
          <w:iCs/>
        </w:rPr>
        <w:t>Verlust religiöser Identität</w:t>
      </w:r>
      <w:r w:rsidRPr="00496E39">
        <w:rPr>
          <w:rFonts w:cs="Calibri"/>
        </w:rPr>
        <w:t xml:space="preserve"> auftreten. John Evans </w:t>
      </w:r>
      <w:r w:rsidRPr="00496E39">
        <w:rPr>
          <w:rFonts w:cs="Calibri"/>
        </w:rPr>
        <w:fldChar w:fldCharType="begin"/>
      </w:r>
      <w:r w:rsidRPr="00496E39">
        <w:rPr>
          <w:rFonts w:cs="Calibri"/>
        </w:rPr>
        <w:instrText xml:space="preserve"> ADDIN ZOTERO_ITEM CSL_CITATION {"citationID":"aqq2qik5nc","properties":{"formattedCitation":"\\uldash{(Evans 2018)}","plainCitation":"(Evans 2018)","dontUpdate":true,"noteIndex":0},"citationItems":[{"id":260,"uris":["http://zotero.org/users/14566843/items/62AMLWT4"],"itemData":{"id":260,"type":"book","abstract":"\"Academics have long claimed that the relationship between religion and science concerns knowledge of the physical world, and that conflict ensues because religion has one way of knowing and science another. For example, it is claimed that to find the age of the Earth religious people look to holy scripture and scientists look at the age of rocks. This book shows that this is indeed true among the elites who focus on this debate. However, contrary to the assumptions of elites and public discourse in general, that same relationship and conflict does not exist between religious citizens and science. This book shows that regular religious people in the U.S. are at most in conflict over a few fact claims with science, and that this limited conflict does not lead to conflict with scientific claims writ large. More importantly, American religion has changed since the 1960s, de-emphasizing knowledge claims about the physical world, and becoming more focused on social relationships and thus morality. This book shows that any religion and science debate in the public is not about scientific claims about nature, such as the age of the Earth, but rather about morality - and opposition to the morality implicitly promoted by scientists\"--Provided by publisher","call-number":"BL240.3","event-place":"Oakland, California","ISBN":"978-0-520-96978-0","number-of-pages":"1","publisher":"University of California Press","publisher-place":"Oakland, California","source":"Library of Congress ISBN","title":"Morals not knowledge: recasting the contemporary U.S. conflict between religion and science","title-short":"Morals not knowledge","author":[{"family":"Evans","given":"John Hyde"}],"issued":{"date-parts":[["2018"]]}}}],"schema":"https://github.com/citation-style-language/schema/raw/master/csl-citation.json"} </w:instrText>
      </w:r>
      <w:r w:rsidRPr="00496E39">
        <w:rPr>
          <w:rFonts w:cs="Calibri"/>
        </w:rPr>
        <w:fldChar w:fldCharType="separate"/>
      </w:r>
      <w:r w:rsidRPr="00496E39">
        <w:rPr>
          <w:rFonts w:cs="Calibri"/>
        </w:rPr>
        <w:t>(2018,</w:t>
      </w:r>
      <w:r w:rsidRPr="00496E39">
        <w:rPr>
          <w:rFonts w:cs="Calibri"/>
        </w:rPr>
        <w:fldChar w:fldCharType="end"/>
      </w:r>
      <w:r w:rsidRPr="00496E39">
        <w:rPr>
          <w:rFonts w:cs="Calibri"/>
        </w:rPr>
        <w:t xml:space="preserve"> </w:t>
      </w:r>
      <w:bookmarkStart w:id="76" w:name="_Hlk214263371"/>
      <w:r w:rsidRPr="00496E39">
        <w:rPr>
          <w:rFonts w:cs="Calibri"/>
        </w:rPr>
        <w:t>163-166</w:t>
      </w:r>
      <w:bookmarkEnd w:id="76"/>
      <w:r w:rsidRPr="00496E39">
        <w:rPr>
          <w:rFonts w:cs="Calibri"/>
        </w:rPr>
        <w:t>) betont, dass sich zwar kein generelles Misstrauen gegenüber Wissenschaft in allen fundamentalistischen Gemeinschaften feststellen lässt; Widerstand gegenüber wissenschaftlichen Erkenntnissen trete aber insbesondere dort auf, wo diese in Konflikt mit religiösen Überzeugungen geraten, etwa im Hinblick auf die Evolutionstheorie, die Urknallhypothese oder die ethische Debatte um Stammzellforschung (Vertiefung unter III).</w:t>
      </w:r>
    </w:p>
    <w:p w14:paraId="09A533B8" w14:textId="77777777" w:rsidR="00A768F4" w:rsidRPr="00FB128B" w:rsidRDefault="00A768F4" w:rsidP="00A768F4">
      <w:pPr>
        <w:pStyle w:val="Listenabsatz"/>
        <w:numPr>
          <w:ilvl w:val="0"/>
          <w:numId w:val="23"/>
        </w:numPr>
        <w:spacing w:after="160" w:line="278" w:lineRule="auto"/>
        <w:rPr>
          <w:rFonts w:cs="Calibri"/>
          <w:sz w:val="22"/>
          <w:szCs w:val="22"/>
          <w:lang w:val="de-DE"/>
        </w:rPr>
      </w:pPr>
      <w:r w:rsidRPr="00FB128B">
        <w:rPr>
          <w:rFonts w:cs="Calibri"/>
          <w:sz w:val="22"/>
          <w:szCs w:val="22"/>
          <w:lang w:val="de-DE"/>
        </w:rPr>
        <w:t xml:space="preserve">Modern </w:t>
      </w:r>
    </w:p>
    <w:p w14:paraId="21BDC275" w14:textId="77777777" w:rsidR="00A768F4" w:rsidRPr="00496E39" w:rsidRDefault="00A768F4" w:rsidP="00A768F4">
      <w:pPr>
        <w:spacing w:after="0" w:line="276" w:lineRule="auto"/>
        <w:jc w:val="both"/>
        <w:rPr>
          <w:rFonts w:cs="Calibri"/>
        </w:rPr>
      </w:pPr>
      <w:r w:rsidRPr="007C1C73">
        <w:rPr>
          <w:rFonts w:cs="Calibri"/>
        </w:rPr>
        <w:t>Gleichwohl fundamentalistische Gemeinschaften zumeist versuchen auf Überzeugungsebene gegen moderne oder genauer gesagt liberale Entwicklungen zu wirken</w:t>
      </w:r>
      <w:r>
        <w:rPr>
          <w:rFonts w:cs="Calibri"/>
        </w:rPr>
        <w:t>,</w:t>
      </w:r>
      <w:r w:rsidRPr="007C1C73">
        <w:rPr>
          <w:rFonts w:cs="Calibri"/>
        </w:rPr>
        <w:t xml:space="preserve"> ist ihr Auftreten dabei in Teilen </w:t>
      </w:r>
      <w:r>
        <w:rPr>
          <w:rFonts w:cs="Calibri"/>
        </w:rPr>
        <w:t xml:space="preserve">selbst </w:t>
      </w:r>
      <w:r w:rsidRPr="007C1C73">
        <w:rPr>
          <w:rFonts w:cs="Calibri"/>
        </w:rPr>
        <w:t xml:space="preserve">modern </w:t>
      </w:r>
      <w:r w:rsidRPr="007C1C73">
        <w:rPr>
          <w:rFonts w:cs="Calibri"/>
        </w:rPr>
        <w:fldChar w:fldCharType="begin"/>
      </w:r>
      <w:r>
        <w:rPr>
          <w:rFonts w:cs="Calibri"/>
        </w:rPr>
        <w:instrText xml:space="preserve"> ADDIN ZOTERO_ITEM CSL_CITATION {"citationID":"W2AIoXer","properties":{"formattedCitation":"(Kr\\uc0\\u252{}ger 2006)","plainCitation":"(Krüger 2006)","dontUpdate":true,"noteIndex":0},"citationItems":[{"id":229,"uris":["http://zotero.org/users/14566843/items/EWLEBDTX"],"itemData":{"id":229,"type":"article-journal","abstract":"The article presents the outline of a comparative framework for the understanding of religious fundamentalism. The argument is developed around the interrelated aspects of macro-historical religious context, socio-religious context, and the context of religious tradition as a primary dimension of religion. In those overlapping contexts, the possibility of fundamentalism is explained with refe-rence to pre-disposing, precipitating and perpetuating conditions. In terms of the dimension of religious tradition, fundamentalism is expounded in terms of the following three aspects: education, inter-pretation and identity-definition. Fundamentalism emerges as an awkward mix (not a creative synthesis) of traditional and modernist elements in the present breach - with its peculiar characteristics, crises and threats - between epochs.","container-title":"Verbum et Ecclesia","DOI":"10.4102/ve.v27i3.192","ISSN":"2074-7705, 1609-9982","issue":"3","journalAbbreviation":"Verbum Eccles.","license":"https://creativecommons.org/licenses/by/4.0","page":"886-908","source":"DOI.org (Crossref)","title":"Religious fundamentalism: Aspects of a comparative framework of understanding","title-short":"Religious fundamentalism","volume":"27","author":[{"family":"Krüger","given":"J S"}],"issued":{"date-parts":[["2006",9,30]]}}}],"schema":"https://github.com/citation-style-language/schema/raw/master/csl-citation.json"} </w:instrText>
      </w:r>
      <w:r w:rsidRPr="007C1C73">
        <w:rPr>
          <w:rFonts w:cs="Calibri"/>
        </w:rPr>
        <w:fldChar w:fldCharType="separate"/>
      </w:r>
      <w:r w:rsidRPr="007C1C73">
        <w:rPr>
          <w:rFonts w:cs="Calibri"/>
        </w:rPr>
        <w:t xml:space="preserve">(Krüger 2006, </w:t>
      </w:r>
      <w:r>
        <w:rPr>
          <w:rFonts w:cs="Calibri"/>
        </w:rPr>
        <w:t>886/906</w:t>
      </w:r>
      <w:r w:rsidRPr="007C1C73">
        <w:rPr>
          <w:rFonts w:cs="Calibri"/>
        </w:rPr>
        <w:t>)</w:t>
      </w:r>
      <w:r w:rsidRPr="007C1C73">
        <w:rPr>
          <w:rFonts w:cs="Calibri"/>
        </w:rPr>
        <w:fldChar w:fldCharType="end"/>
      </w:r>
      <w:r w:rsidRPr="007C1C73">
        <w:rPr>
          <w:rFonts w:cs="Calibri"/>
        </w:rPr>
        <w:t xml:space="preserve">. Ihre Botschaften verbreiten fundamentalistische Akteur:innen zunehmend über moderne Kommunikationsmittel wie </w:t>
      </w:r>
      <w:r>
        <w:rPr>
          <w:rFonts w:cs="Calibri"/>
        </w:rPr>
        <w:t>S</w:t>
      </w:r>
      <w:r w:rsidRPr="007C1C73">
        <w:rPr>
          <w:rFonts w:cs="Calibri"/>
        </w:rPr>
        <w:t xml:space="preserve">oziale Medien und digitale Plattformen </w:t>
      </w:r>
      <w:r w:rsidRPr="007C1C73">
        <w:rPr>
          <w:rFonts w:cs="Calibri"/>
        </w:rPr>
        <w:fldChar w:fldCharType="begin"/>
      </w:r>
      <w:r>
        <w:rPr>
          <w:rFonts w:cs="Calibri"/>
        </w:rPr>
        <w:instrText xml:space="preserve"> ADDIN ZOTERO_ITEM CSL_CITATION {"citationID":"5cta8IJV","properties":{"formattedCitation":"(Peels 2023)","plainCitation":"(Peels 2023)","dontUpdate":true,"noteIndex":0},"citationItems":[{"id":96,"uris":["http://zotero.org/users/14566843/items/J42UVP3N"],"itemData":{"id":96,"type":"article-journal","abstract":"Abstract\n            This article combines two things: it explores how one should undertake the project of defining ‘fundamentalism’ and, based on the ensuing desiderata, it actually provides such a definition. After a few preliminary comments on ‘fundamentalism’ and the value of defining it, five goals of definitions are distinguished and elucidated: accuracy, precision, fairness, clarity, and fecundity. After that, various kinds of definitions and their interrelations are spelled out. Finally, the author provides and defends a so-called explicative definition of ‘fundamentalism’ both in terms of necessary and sufficient conditions and in terms of stereotypical properties. On the basis of empirical literature and a scoping review, it is argued that a movement is fundamentalist if and only if it is (i) reactionary towards modern developments, (ii) itself modern, and (iii) based on a grand historical narrative. More specifically, a movement is fundamentalist if it exemplifies a large number of the following properties: (i) it is reactionary in its rejection of liberal ethics, science, or technological exploitation; (ii) it is modern in seeking certainty and control, embracing literalism and infallibility about particular scriptures, actively using media and technology, or making universal claims; and (iii) it presents a grand historical narrative in terms of paradise, fall, and redemption, or cosmic dualism.","container-title":"Religious Studies","DOI":"10.1017/S0034412522000683","ISSN":"0034-4125, 1469-901X","issue":"4","journalAbbreviation":"Rel. Stud.","language":"en","page":"729-747","source":"DOI.org (Crossref)","title":"On defining ‘fundamentalism’","volume":"59","author":[{"family":"Peels","given":"Rik"}],"issued":{"date-parts":[["2023",12]]}}}],"schema":"https://github.com/citation-style-language/schema/raw/master/csl-citation.json"} </w:instrText>
      </w:r>
      <w:r w:rsidRPr="007C1C73">
        <w:rPr>
          <w:rFonts w:cs="Calibri"/>
        </w:rPr>
        <w:fldChar w:fldCharType="separate"/>
      </w:r>
      <w:r w:rsidRPr="007C1C73">
        <w:rPr>
          <w:rFonts w:cs="Calibri"/>
          <w:noProof/>
        </w:rPr>
        <w:t xml:space="preserve">(Peels 2023, </w:t>
      </w:r>
      <w:r>
        <w:rPr>
          <w:rFonts w:cs="Calibri"/>
          <w:noProof/>
        </w:rPr>
        <w:t>741</w:t>
      </w:r>
      <w:r w:rsidRPr="007C1C73">
        <w:rPr>
          <w:rFonts w:cs="Calibri"/>
          <w:noProof/>
        </w:rPr>
        <w:t>)</w:t>
      </w:r>
      <w:r w:rsidRPr="007C1C73">
        <w:rPr>
          <w:rFonts w:cs="Calibri"/>
        </w:rPr>
        <w:fldChar w:fldCharType="end"/>
      </w:r>
      <w:r w:rsidRPr="007C1C73">
        <w:rPr>
          <w:rFonts w:cs="Calibri"/>
        </w:rPr>
        <w:t xml:space="preserve">. Auch in der Gestaltung von Gottesdiensten lässt sich vielfach eine bewusste Anlehnung an populärkulturelle Ausdrucksformen beobachten; also zeitgenössische oder so wahrgenommene </w:t>
      </w:r>
      <w:r w:rsidRPr="00496E39">
        <w:rPr>
          <w:rFonts w:cs="Calibri"/>
        </w:rPr>
        <w:t xml:space="preserve">massenkulturelle Erscheinungen (Kunst, Musik, Mode), </w:t>
      </w:r>
      <w:r>
        <w:rPr>
          <w:rFonts w:cs="Calibri"/>
        </w:rPr>
        <w:t>die</w:t>
      </w:r>
      <w:r w:rsidRPr="00496E39">
        <w:rPr>
          <w:rFonts w:cs="Calibri"/>
        </w:rPr>
        <w:t xml:space="preserve"> selbstverstärkend rezipiert werden </w:t>
      </w:r>
      <w:r w:rsidRPr="00496E39">
        <w:rPr>
          <w:rFonts w:cs="Calibri"/>
        </w:rPr>
        <w:fldChar w:fldCharType="begin"/>
      </w:r>
      <w:r w:rsidRPr="00496E39">
        <w:rPr>
          <w:rFonts w:cs="Calibri"/>
        </w:rPr>
        <w:instrText xml:space="preserve"> ADDIN ZOTERO_ITEM CSL_CITATION {"citationID":"a2enduo1bp3","properties":{"formattedCitation":"\\uldash{(Hecken 2015)}","plainCitation":"(Hecken 2015)","dontUpdate":true,"noteIndex":0},"citationItems":[{"id":360,"uris":["http://zotero.org/users/14566843/items/C8IUGZUD"],"itemData":{"id":360,"type":"book","abstract":"Pop ist weit mehr als ein Kürzel für »populär«. Der Pop-Begriff führt gleich in mehrere Bereiche hinein, die für die Kultur der westlichen Welt von großer Bedeutung sind. Pop steht für die bunte, reizvolle Ästhetik des alltäglichen und medialen Konsums, Pop steht für wichtige Tendenzen im Unterhaltungssektor und in der modernen Kunst. Zudem wird unter dem Zeichen von Pop oft sogar für eine hedonistische Form der Gegenkultur gestritten. Die publizistischen und intellektuellen Debatten rund um die Popkultur, um Popmusik, Pop-art, Pop-Theorie und um Camp, Underground, New Journalism, Postmoderne und Lifestyle zeichnet »Pop. Geschichte eines Konzepts« erstmals international umfassend nach. Damit liegt nicht mehr und nicht weniger als ein Standard- und Nachschlagewerk zur Geschichte des Pop-Diskurses vor","collection-title":"Kultur- und Medientheorie","event-place":"Bielefeld","ISBN":"978-3-8394-0982-4","language":"ger","note":"DOI: 10.14361/9783839409824","number-of-pages":"1","publisher":"transcript Verlag","publisher-place":"Bielefeld","source":"K10plus ISBN","title":"Pop: Geschichte eines Konzepts 1955-2009","title-short":"Pop","author":[{"family":"Hecken","given":"Thomas"}],"issued":{"date-parts":[["2015"]]}}}],"schema":"https://github.com/citation-style-language/schema/raw/master/csl-citation.json"} </w:instrText>
      </w:r>
      <w:r w:rsidRPr="00496E39">
        <w:rPr>
          <w:rFonts w:cs="Calibri"/>
        </w:rPr>
        <w:fldChar w:fldCharType="separate"/>
      </w:r>
      <w:r w:rsidRPr="00496E39">
        <w:rPr>
          <w:rFonts w:cs="Calibri"/>
        </w:rPr>
        <w:t>(Hecken 2015, 12-13)</w:t>
      </w:r>
      <w:r w:rsidRPr="00496E39">
        <w:rPr>
          <w:rFonts w:cs="Calibri"/>
        </w:rPr>
        <w:fldChar w:fldCharType="end"/>
      </w:r>
      <w:r w:rsidRPr="00496E39">
        <w:rPr>
          <w:rFonts w:cs="Calibri"/>
        </w:rPr>
        <w:t xml:space="preserve">.  </w:t>
      </w:r>
    </w:p>
    <w:p w14:paraId="07D9C738" w14:textId="77777777" w:rsidR="00A768F4" w:rsidRPr="00161BE8" w:rsidRDefault="00A768F4" w:rsidP="00A768F4">
      <w:pPr>
        <w:pStyle w:val="StandardWeb"/>
        <w:spacing w:before="0" w:beforeAutospacing="0" w:after="0" w:afterAutospacing="0" w:line="276" w:lineRule="auto"/>
        <w:jc w:val="both"/>
        <w:rPr>
          <w:rFonts w:ascii="Calibri" w:hAnsi="Calibri" w:cs="Calibri"/>
          <w:sz w:val="22"/>
          <w:szCs w:val="22"/>
          <w:lang w:val="de-DE"/>
        </w:rPr>
      </w:pPr>
      <w:r w:rsidRPr="00161BE8">
        <w:rPr>
          <w:rFonts w:ascii="Calibri" w:hAnsi="Calibri" w:cs="Calibri"/>
          <w:sz w:val="22"/>
          <w:szCs w:val="22"/>
          <w:lang w:val="de-DE"/>
        </w:rPr>
        <w:t xml:space="preserve">Das Streben nach Gewissheit und </w:t>
      </w:r>
      <w:r w:rsidRPr="00161BE8">
        <w:rPr>
          <w:rFonts w:ascii="Calibri" w:hAnsi="Calibri" w:cs="Calibri"/>
          <w:color w:val="000000"/>
          <w:sz w:val="22"/>
          <w:szCs w:val="22"/>
          <w:lang w:val="de-DE"/>
        </w:rPr>
        <w:t xml:space="preserve">„[…] </w:t>
      </w:r>
      <w:r w:rsidRPr="00161BE8">
        <w:rPr>
          <w:rFonts w:ascii="Calibri" w:hAnsi="Calibri" w:cs="Calibri"/>
          <w:sz w:val="22"/>
          <w:szCs w:val="22"/>
          <w:lang w:val="de-DE"/>
        </w:rPr>
        <w:t>Sicherheit in einer unsicheren Welt“</w:t>
      </w:r>
      <w:r w:rsidRPr="00161BE8">
        <w:rPr>
          <w:rStyle w:val="Funotenzeichen"/>
          <w:rFonts w:ascii="Calibri" w:eastAsiaTheme="majorEastAsia" w:hAnsi="Calibri" w:cs="Calibri"/>
          <w:sz w:val="22"/>
          <w:szCs w:val="22"/>
          <w:lang w:val="de-DE"/>
        </w:rPr>
        <w:footnoteReference w:id="35"/>
      </w:r>
      <w:r w:rsidRPr="00161BE8">
        <w:rPr>
          <w:rFonts w:ascii="Calibri" w:hAnsi="Calibri" w:cs="Calibri"/>
          <w:sz w:val="22"/>
          <w:szCs w:val="22"/>
          <w:lang w:val="de-DE"/>
        </w:rPr>
        <w:t xml:space="preserve"> </w:t>
      </w:r>
      <w:r w:rsidRPr="00161BE8">
        <w:rPr>
          <w:rFonts w:ascii="Calibri" w:hAnsi="Calibri" w:cs="Calibri"/>
          <w:sz w:val="22"/>
          <w:szCs w:val="22"/>
          <w:lang w:val="de-DE"/>
        </w:rPr>
        <w:fldChar w:fldCharType="begin"/>
      </w:r>
      <w:r w:rsidRPr="00161BE8">
        <w:rPr>
          <w:rFonts w:ascii="Calibri" w:hAnsi="Calibri" w:cs="Calibri"/>
          <w:sz w:val="22"/>
          <w:szCs w:val="22"/>
          <w:lang w:val="de-DE"/>
        </w:rPr>
        <w:instrText xml:space="preserve"> ADDIN ZOTERO_ITEM CSL_CITATION {"citationID":"a19utthjnua","properties":{"formattedCitation":"\\uldash{(Peels und Kindermann 2024)}","plainCitation":"(Peels und Kindermann 2024)","dontUpdate":true,"noteIndex":0},"citationItems":[{"id":104,"uris":["http://zotero.org/users/14566843/items/48JLW7H2"],"itemData":{"id":104,"type":"article-journal","container-title":"Journal of Political Ideologies","DOI":"10.1080/13569317.2022.2138294","ISSN":"1356-9317, 1469-9613","issue":"3","journalAbbreviation":"Journal of Political Ideologies","language":"en","page":"492-512","source":"DOI.org (Crossref)","title":"What are fundamentalist beliefs?","volume":"29","author":[{"family":"Peels","given":"Rik"},{"family":"Kindermann","given":"Nora"}],"issued":{"date-parts":[["2024",9]]}}}],"schema":"https://github.com/citation-style-language/schema/raw/master/csl-citation.json"} </w:instrText>
      </w:r>
      <w:r w:rsidRPr="00161BE8">
        <w:rPr>
          <w:rFonts w:ascii="Calibri" w:hAnsi="Calibri" w:cs="Calibri"/>
          <w:sz w:val="22"/>
          <w:szCs w:val="22"/>
          <w:lang w:val="de-DE"/>
        </w:rPr>
        <w:fldChar w:fldCharType="separate"/>
      </w:r>
      <w:r w:rsidRPr="00161BE8">
        <w:rPr>
          <w:rFonts w:ascii="Calibri" w:hAnsi="Calibri" w:cs="Calibri"/>
          <w:sz w:val="22"/>
          <w:szCs w:val="22"/>
          <w:lang w:val="de-DE"/>
        </w:rPr>
        <w:t>(Peels und Kindermann 2024, 500)</w:t>
      </w:r>
      <w:r w:rsidRPr="00161BE8">
        <w:rPr>
          <w:rFonts w:ascii="Calibri" w:hAnsi="Calibri" w:cs="Calibri"/>
          <w:sz w:val="22"/>
          <w:szCs w:val="22"/>
          <w:lang w:val="de-DE"/>
        </w:rPr>
        <w:fldChar w:fldCharType="end"/>
      </w:r>
      <w:r w:rsidRPr="00161BE8">
        <w:rPr>
          <w:rFonts w:ascii="Calibri" w:hAnsi="Calibri" w:cs="Calibri"/>
          <w:sz w:val="22"/>
          <w:szCs w:val="22"/>
          <w:lang w:val="de-DE"/>
        </w:rPr>
        <w:fldChar w:fldCharType="begin"/>
      </w:r>
      <w:r w:rsidRPr="00161BE8">
        <w:rPr>
          <w:rFonts w:ascii="Calibri" w:hAnsi="Calibri" w:cs="Calibri"/>
          <w:sz w:val="22"/>
          <w:szCs w:val="22"/>
          <w:lang w:val="de-DE"/>
        </w:rPr>
        <w:instrText xml:space="preserve"> ADDIN ZOTERO_ITEM CSL_CITATION {"citationID":"IP8mDUog","properties":{"formattedCitation":"(Peels und Kindermann 2024)","plainCitation":"(Peels und Kindermann 2024)","dontUpdate":true,"noteIndex":0},"citationItems":[{"id":104,"uris":["http://zotero.org/users/14566843/items/48JLW7H2"],"itemData":{"id":104,"type":"article-journal","container-title":"Journal of Political Ideologies","DOI":"10.1080/13569317.2022.2138294","ISSN":"1356-9317, 1469-9613","issue":"3","journalAbbreviation":"Journal of Political Ideologies","language":"en","page":"492-512","source":"DOI.org (Crossref)","title":"What are fundamentalist beliefs?","volume":"29","author":[{"family":"Peels","given":"Rik"},{"family":"Kindermann","given":"Nora"}],"issued":{"date-parts":[["2024",9]]}}}],"schema":"https://github.com/citation-style-language/schema/raw/master/csl-citation.json"} </w:instrText>
      </w:r>
      <w:r w:rsidRPr="00161BE8">
        <w:rPr>
          <w:rFonts w:ascii="Calibri" w:hAnsi="Calibri" w:cs="Calibri"/>
          <w:sz w:val="22"/>
          <w:szCs w:val="22"/>
          <w:lang w:val="de-DE"/>
        </w:rPr>
        <w:fldChar w:fldCharType="separate"/>
      </w:r>
      <w:r w:rsidRPr="00161BE8">
        <w:rPr>
          <w:rFonts w:ascii="Calibri" w:hAnsi="Calibri" w:cs="Calibri"/>
          <w:sz w:val="22"/>
          <w:szCs w:val="22"/>
          <w:lang w:val="de-DE"/>
        </w:rPr>
        <w:fldChar w:fldCharType="end"/>
      </w:r>
      <w:r w:rsidRPr="00161BE8">
        <w:rPr>
          <w:rStyle w:val="Funotenzeichen"/>
          <w:rFonts w:ascii="Calibri" w:eastAsiaTheme="majorEastAsia" w:hAnsi="Calibri" w:cs="Calibri"/>
          <w:sz w:val="22"/>
          <w:szCs w:val="22"/>
          <w:lang w:val="de-DE"/>
        </w:rPr>
        <w:t xml:space="preserve"> </w:t>
      </w:r>
      <w:r w:rsidRPr="00161BE8">
        <w:rPr>
          <w:rFonts w:ascii="Calibri" w:hAnsi="Calibri" w:cs="Calibri"/>
          <w:sz w:val="22"/>
          <w:szCs w:val="22"/>
          <w:lang w:val="de-DE"/>
        </w:rPr>
        <w:t>sind der modernen Gesellschaft inhärent.</w:t>
      </w:r>
      <w:r w:rsidRPr="00161BE8">
        <w:rPr>
          <w:rFonts w:ascii="Calibri" w:hAnsi="Calibri" w:cs="Calibri"/>
          <w:color w:val="000000"/>
          <w:sz w:val="22"/>
          <w:szCs w:val="22"/>
          <w:lang w:val="de-DE"/>
        </w:rPr>
        <w:t xml:space="preserve"> </w:t>
      </w:r>
      <w:r w:rsidRPr="00161BE8">
        <w:rPr>
          <w:rFonts w:ascii="Calibri" w:hAnsi="Calibri" w:cs="Calibri"/>
          <w:sz w:val="22"/>
          <w:szCs w:val="22"/>
          <w:lang w:val="de-DE"/>
        </w:rPr>
        <w:t xml:space="preserve">Fundamentalistische Überzeugungen basieren auf der Annahme, dass es eine immerwährende, göttlich geordnete Struktur der Welt gebe, die eine bestimmte religiöse Lebensweise verlange </w:t>
      </w:r>
      <w:r w:rsidRPr="00161BE8">
        <w:rPr>
          <w:rFonts w:ascii="Calibri" w:hAnsi="Calibri" w:cs="Calibri"/>
          <w:sz w:val="22"/>
          <w:szCs w:val="22"/>
          <w:lang w:val="de-DE"/>
        </w:rPr>
        <w:fldChar w:fldCharType="begin"/>
      </w:r>
      <w:r w:rsidRPr="00161BE8">
        <w:rPr>
          <w:rFonts w:ascii="Calibri" w:hAnsi="Calibri" w:cs="Calibri"/>
          <w:sz w:val="22"/>
          <w:szCs w:val="22"/>
          <w:lang w:val="de-DE"/>
        </w:rPr>
        <w:instrText xml:space="preserve"> ADDIN ZOTERO_ITEM CSL_CITATION {"citationID":"SGZtAsu3","properties":{"formattedCitation":"(Six et al., 2005)","plainCitation":"(Six et al., 2005)","dontUpdate":true,"noteIndex":0},"citationItems":[{"id":237,"uris":["http://zotero.org/users/14566843/items/UELFZL6S"],"itemData":{"id":237,"type":"book","call-number":"BL238 .R453 2005","collection-number":"Bd. 16","collection-title":"Querschnitte : Einführungstexte zur Sozial-, Wirtschafts- und Kulturgeschichte","edition":"2. unveränderte Aufl","event-place":"Innsbruck","ISBN":"978-3-7065-4071-1","number-of-pages":"268","publisher":"StudienVerlag","publisher-place":"Innsbruck","source":"Library of Congress ISBN","title":"Religiöser Fundamentalismus: vom Kolonialismus zur Globalisierung","title-short":"Religiöser Fundamentalismus","editor":[{"family":"Six","given":"Clemens"},{"family":"Riesebrodt","given":"Martin"},{"family":"Haas","given":"Siegfried"}],"issued":{"date-parts":[["2005"]]}}}],"schema":"https://github.com/citation-style-language/schema/raw/master/csl-citation.json"} </w:instrText>
      </w:r>
      <w:r w:rsidRPr="00161BE8">
        <w:rPr>
          <w:rFonts w:ascii="Calibri" w:hAnsi="Calibri" w:cs="Calibri"/>
          <w:sz w:val="22"/>
          <w:szCs w:val="22"/>
          <w:lang w:val="de-DE"/>
        </w:rPr>
        <w:fldChar w:fldCharType="separate"/>
      </w:r>
      <w:r w:rsidRPr="00161BE8">
        <w:rPr>
          <w:rFonts w:ascii="Calibri" w:hAnsi="Calibri" w:cs="Calibri"/>
          <w:noProof/>
          <w:sz w:val="22"/>
          <w:szCs w:val="22"/>
          <w:lang w:val="de-DE"/>
        </w:rPr>
        <w:t>(Riesebrodt 2005, 181-182)</w:t>
      </w:r>
      <w:r w:rsidRPr="00161BE8">
        <w:rPr>
          <w:rFonts w:ascii="Calibri" w:hAnsi="Calibri" w:cs="Calibri"/>
          <w:sz w:val="22"/>
          <w:szCs w:val="22"/>
          <w:lang w:val="de-DE"/>
        </w:rPr>
        <w:fldChar w:fldCharType="end"/>
      </w:r>
      <w:r w:rsidRPr="00161BE8">
        <w:rPr>
          <w:rFonts w:ascii="Calibri" w:hAnsi="Calibri" w:cs="Calibri"/>
          <w:sz w:val="22"/>
          <w:szCs w:val="22"/>
          <w:lang w:val="de-DE"/>
        </w:rPr>
        <w:t xml:space="preserve">. Diese Weltanschauung ist </w:t>
      </w:r>
      <w:r w:rsidRPr="00161BE8">
        <w:rPr>
          <w:rFonts w:ascii="Calibri" w:hAnsi="Calibri" w:cs="Calibri"/>
          <w:sz w:val="22"/>
          <w:szCs w:val="22"/>
          <w:lang w:val="de-DE"/>
        </w:rPr>
        <w:lastRenderedPageBreak/>
        <w:t xml:space="preserve">geprägt von einer Gewissheit der Unfehlbarkeit </w:t>
      </w:r>
      <w:r w:rsidRPr="00161BE8">
        <w:rPr>
          <w:rFonts w:ascii="Calibri" w:hAnsi="Calibri" w:cs="Calibri"/>
          <w:sz w:val="22"/>
          <w:szCs w:val="22"/>
          <w:lang w:val="de-DE"/>
        </w:rPr>
        <w:fldChar w:fldCharType="begin"/>
      </w:r>
      <w:r w:rsidRPr="00161BE8">
        <w:rPr>
          <w:rFonts w:ascii="Calibri" w:hAnsi="Calibri" w:cs="Calibri"/>
          <w:sz w:val="22"/>
          <w:szCs w:val="22"/>
          <w:lang w:val="de-DE"/>
        </w:rPr>
        <w:instrText xml:space="preserve"> ADDIN ZOTERO_ITEM CSL_CITATION {"citationID":"8IBsQqlN","properties":{"formattedCitation":"(Peels 2023)","plainCitation":"(Peels 2023)","dontUpdate":true,"noteIndex":0},"citationItems":[{"id":96,"uris":["http://zotero.org/users/14566843/items/J42UVP3N"],"itemData":{"id":96,"type":"article-journal","abstract":"Abstract\n            This article combines two things: it explores how one should undertake the project of defining ‘fundamentalism’ and, based on the ensuing desiderata, it actually provides such a definition. After a few preliminary comments on ‘fundamentalism’ and the value of defining it, five goals of definitions are distinguished and elucidated: accuracy, precision, fairness, clarity, and fecundity. After that, various kinds of definitions and their interrelations are spelled out. Finally, the author provides and defends a so-called explicative definition of ‘fundamentalism’ both in terms of necessary and sufficient conditions and in terms of stereotypical properties. On the basis of empirical literature and a scoping review, it is argued that a movement is fundamentalist if and only if it is (i) reactionary towards modern developments, (ii) itself modern, and (iii) based on a grand historical narrative. More specifically, a movement is fundamentalist if it exemplifies a large number of the following properties: (i) it is reactionary in its rejection of liberal ethics, science, or technological exploitation; (ii) it is modern in seeking certainty and control, embracing literalism and infallibility about particular scriptures, actively using media and technology, or making universal claims; and (iii) it presents a grand historical narrative in terms of paradise, fall, and redemption, or cosmic dualism.","container-title":"Religious Studies","DOI":"10.1017/S0034412522000683","ISSN":"0034-4125, 1469-901X","issue":"4","journalAbbreviation":"Rel. Stud.","language":"en","page":"729-747","source":"DOI.org (Crossref)","title":"On defining ‘fundamentalism’","volume":"59","author":[{"family":"Peels","given":"Rik"}],"issued":{"date-parts":[["2023",12]]}}}],"schema":"https://github.com/citation-style-language/schema/raw/master/csl-citation.json"} </w:instrText>
      </w:r>
      <w:r w:rsidRPr="00161BE8">
        <w:rPr>
          <w:rFonts w:ascii="Calibri" w:hAnsi="Calibri" w:cs="Calibri"/>
          <w:sz w:val="22"/>
          <w:szCs w:val="22"/>
          <w:lang w:val="de-DE"/>
        </w:rPr>
        <w:fldChar w:fldCharType="separate"/>
      </w:r>
      <w:r w:rsidRPr="00161BE8">
        <w:rPr>
          <w:rFonts w:ascii="Calibri" w:hAnsi="Calibri" w:cs="Calibri"/>
          <w:noProof/>
          <w:sz w:val="22"/>
          <w:szCs w:val="22"/>
          <w:lang w:val="de-DE"/>
        </w:rPr>
        <w:t>(Kellich 2023, 741)</w:t>
      </w:r>
      <w:r w:rsidRPr="00161BE8">
        <w:rPr>
          <w:rFonts w:ascii="Calibri" w:hAnsi="Calibri" w:cs="Calibri"/>
          <w:sz w:val="22"/>
          <w:szCs w:val="22"/>
          <w:lang w:val="de-DE"/>
        </w:rPr>
        <w:fldChar w:fldCharType="end"/>
      </w:r>
      <w:r w:rsidRPr="00161BE8">
        <w:rPr>
          <w:rFonts w:ascii="Calibri" w:hAnsi="Calibri" w:cs="Calibri"/>
          <w:sz w:val="22"/>
          <w:szCs w:val="22"/>
          <w:lang w:val="de-DE"/>
        </w:rPr>
        <w:t xml:space="preserve"> besonders bezogen auf die heilige[n] Schrift[en] oder religiöse Führer:innen. Kritik oder Zweifel an der Legitimität dieser Anschauungen wird als vergeblich und als Zeichen von persönlicher Schwäche oder fehlerhaften Verständnisses angesehen </w:t>
      </w:r>
      <w:r w:rsidRPr="00161BE8">
        <w:rPr>
          <w:rFonts w:ascii="Calibri" w:hAnsi="Calibri" w:cs="Calibri"/>
          <w:sz w:val="22"/>
          <w:szCs w:val="22"/>
          <w:lang w:val="de-DE"/>
        </w:rPr>
        <w:fldChar w:fldCharType="begin"/>
      </w:r>
      <w:r w:rsidRPr="00161BE8">
        <w:rPr>
          <w:rFonts w:ascii="Calibri" w:hAnsi="Calibri" w:cs="Calibri"/>
          <w:sz w:val="22"/>
          <w:szCs w:val="22"/>
          <w:lang w:val="de-DE"/>
        </w:rPr>
        <w:instrText xml:space="preserve"> ADDIN ZOTERO_ITEM CSL_CITATION {"citationID":"bYa0J9qL","properties":{"formattedCitation":"(Peels 2023)","plainCitation":"(Peels 2023)","noteIndex":0},"citationItems":[{"id":96,"uris":["http://zotero.org/users/14566843/items/J42UVP3N"],"itemData":{"id":96,"type":"article-journal","abstract":"Abstract\n            This article combines two things: it explores how one should undertake the project of defining ‘fundamentalism’ and, based on the ensuing desiderata, it actually provides such a definition. After a few preliminary comments on ‘fundamentalism’ and the value of defining it, five goals of definitions are distinguished and elucidated: accuracy, precision, fairness, clarity, and fecundity. After that, various kinds of definitions and their interrelations are spelled out. Finally, the author provides and defends a so-called explicative definition of ‘fundamentalism’ both in terms of necessary and sufficient conditions and in terms of stereotypical properties. On the basis of empirical literature and a scoping review, it is argued that a movement is fundamentalist if and only if it is (i) reactionary towards modern developments, (ii) itself modern, and (iii) based on a grand historical narrative. More specifically, a movement is fundamentalist if it exemplifies a large number of the following properties: (i) it is reactionary in its rejection of liberal ethics, science, or technological exploitation; (ii) it is modern in seeking certainty and control, embracing literalism and infallibility about particular scriptures, actively using media and technology, or making universal claims; and (iii) it presents a grand historical narrative in terms of paradise, fall, and redemption, or cosmic dualism.","container-title":"Religious Studies","DOI":"10.1017/S0034412522000683","ISSN":"0034-4125, 1469-901X","issue":"4","journalAbbreviation":"Rel. Stud.","language":"en","page":"729-747","source":"DOI.org (Crossref)","title":"On defining ‘fundamentalism’","volume":"59","author":[{"family":"Peels","given":"Rik"}],"issued":{"date-parts":[["2023",12]]}}}],"schema":"https://github.com/citation-style-language/schema/raw/master/csl-citation.json"} </w:instrText>
      </w:r>
      <w:r w:rsidRPr="00161BE8">
        <w:rPr>
          <w:rFonts w:ascii="Calibri" w:hAnsi="Calibri" w:cs="Calibri"/>
          <w:sz w:val="22"/>
          <w:szCs w:val="22"/>
          <w:lang w:val="de-DE"/>
        </w:rPr>
        <w:fldChar w:fldCharType="separate"/>
      </w:r>
      <w:r w:rsidRPr="00161BE8">
        <w:rPr>
          <w:rFonts w:ascii="Calibri" w:hAnsi="Calibri" w:cs="Calibri"/>
          <w:noProof/>
          <w:sz w:val="22"/>
          <w:szCs w:val="22"/>
          <w:lang w:val="de-DE"/>
        </w:rPr>
        <w:t>(Peels 2023)</w:t>
      </w:r>
      <w:r w:rsidRPr="00161BE8">
        <w:rPr>
          <w:rFonts w:ascii="Calibri" w:hAnsi="Calibri" w:cs="Calibri"/>
          <w:sz w:val="22"/>
          <w:szCs w:val="22"/>
          <w:lang w:val="de-DE"/>
        </w:rPr>
        <w:fldChar w:fldCharType="end"/>
      </w:r>
      <w:r w:rsidRPr="00161BE8">
        <w:rPr>
          <w:rFonts w:ascii="Calibri" w:hAnsi="Calibri" w:cs="Calibri"/>
          <w:sz w:val="22"/>
          <w:szCs w:val="22"/>
          <w:lang w:val="de-DE"/>
        </w:rPr>
        <w:t xml:space="preserve">. Statt sich mit Erkenntnissen auseinanderzusetzen, die der Glaubenslehre widersprechen, werden Zweifel häufig vermieden </w:t>
      </w:r>
      <w:r w:rsidRPr="00161BE8">
        <w:rPr>
          <w:rFonts w:ascii="Calibri" w:hAnsi="Calibri" w:cs="Calibri"/>
          <w:color w:val="000000"/>
          <w:sz w:val="22"/>
          <w:szCs w:val="22"/>
          <w:lang w:val="de-DE"/>
        </w:rPr>
        <w:fldChar w:fldCharType="begin"/>
      </w:r>
      <w:r w:rsidRPr="00161BE8">
        <w:rPr>
          <w:rFonts w:ascii="Calibri" w:hAnsi="Calibri" w:cs="Calibri"/>
          <w:color w:val="000000"/>
          <w:sz w:val="22"/>
          <w:szCs w:val="22"/>
          <w:lang w:val="de-DE"/>
        </w:rPr>
        <w:instrText xml:space="preserve"> ADDIN ZOTERO_ITEM CSL_CITATION {"citationID":"6hOyTo9t","properties":{"formattedCitation":"(Karle &amp; Domsgen, 2023)","plainCitation":"(Karle &amp; Domsgen, 2023)","dontUpdate":true,"noteIndex":0},"citationItems":[{"id":189,"uris":["http://zotero.org/users/local/Q410LiLN/items/Z4NUBL9X","http://zotero.org/users/14566843/items/Z4NUBL9X"],"itemData":{"id":189,"type":"book","collection-number":"Band 7","collection-title":"Lehrwerk Evangelische Theologie (LETh)","event-place":"Leipzig","ISBN":"978-3-374-07322-1","language":"ger","number-of-pages":"718","publisher":"Evangelische Verlagsanstalt","publisher-place":"Leipzig","source":"K10plus ISBN","title":"Praktische Theologie: Studienausgabe","title-short":"Praktische Theologie","author":[{"family":"Karle","given":"Isolde"},{"family":"Domsgen","given":"Michael"}],"issued":{"date-parts":[["2023"]]}}}],"schema":"https://github.com/citation-style-language/schema/raw/master/csl-citation.json"} </w:instrText>
      </w:r>
      <w:r w:rsidRPr="00161BE8">
        <w:rPr>
          <w:rFonts w:ascii="Calibri" w:hAnsi="Calibri" w:cs="Calibri"/>
          <w:color w:val="000000"/>
          <w:sz w:val="22"/>
          <w:szCs w:val="22"/>
          <w:lang w:val="de-DE"/>
        </w:rPr>
        <w:fldChar w:fldCharType="separate"/>
      </w:r>
      <w:r w:rsidRPr="00161BE8">
        <w:rPr>
          <w:rFonts w:ascii="Calibri" w:hAnsi="Calibri" w:cs="Calibri"/>
          <w:noProof/>
          <w:color w:val="000000"/>
          <w:sz w:val="22"/>
          <w:szCs w:val="22"/>
          <w:lang w:val="de-DE"/>
        </w:rPr>
        <w:t>(Evans 2018, 136)</w:t>
      </w:r>
      <w:r w:rsidRPr="00161BE8">
        <w:rPr>
          <w:rFonts w:ascii="Calibri" w:hAnsi="Calibri" w:cs="Calibri"/>
          <w:color w:val="000000"/>
          <w:sz w:val="22"/>
          <w:szCs w:val="22"/>
          <w:lang w:val="de-DE"/>
        </w:rPr>
        <w:fldChar w:fldCharType="end"/>
      </w:r>
      <w:r w:rsidRPr="00161BE8">
        <w:rPr>
          <w:rFonts w:ascii="Calibri" w:hAnsi="Calibri" w:cs="Calibri"/>
          <w:sz w:val="22"/>
          <w:szCs w:val="22"/>
          <w:lang w:val="de-DE"/>
        </w:rPr>
        <w:t xml:space="preserve">, was wiederum zur Negierung wissenschaftlicher Erkenntnisse (wie zuvor beschrieben) führen kann. </w:t>
      </w:r>
    </w:p>
    <w:p w14:paraId="48BC521C" w14:textId="77777777" w:rsidR="00A768F4" w:rsidRPr="00161BE8" w:rsidRDefault="00A768F4" w:rsidP="00A768F4">
      <w:pPr>
        <w:pStyle w:val="StandardWeb"/>
        <w:spacing w:before="0" w:beforeAutospacing="0" w:after="0" w:afterAutospacing="0" w:line="276" w:lineRule="auto"/>
        <w:jc w:val="both"/>
        <w:rPr>
          <w:rFonts w:ascii="Calibri" w:hAnsi="Calibri" w:cs="Calibri"/>
          <w:sz w:val="22"/>
          <w:szCs w:val="22"/>
          <w:lang w:val="de-DE"/>
        </w:rPr>
      </w:pPr>
      <w:r w:rsidRPr="00161BE8">
        <w:rPr>
          <w:rFonts w:ascii="Calibri" w:hAnsi="Calibri" w:cs="Calibri"/>
          <w:sz w:val="22"/>
          <w:szCs w:val="22"/>
          <w:lang w:val="de-DE"/>
        </w:rPr>
        <w:t xml:space="preserve">Diese strikte und regelgeleitete Lebensführung erscheint gerade im Sinne der Komplexitätsreduktion für viele Menschen attraktiv. Nur ergänzend in Peels </w:t>
      </w:r>
      <w:r w:rsidRPr="00161BE8">
        <w:rPr>
          <w:rFonts w:ascii="Calibri" w:hAnsi="Calibri" w:cs="Calibri"/>
          <w:i/>
          <w:iCs/>
          <w:sz w:val="22"/>
          <w:szCs w:val="22"/>
          <w:lang w:val="de-DE"/>
        </w:rPr>
        <w:t>‚BigFam‘ Definition</w:t>
      </w:r>
      <w:r w:rsidRPr="00161BE8">
        <w:rPr>
          <w:rFonts w:ascii="Calibri" w:hAnsi="Calibri" w:cs="Calibri"/>
          <w:sz w:val="22"/>
          <w:szCs w:val="22"/>
          <w:lang w:val="de-DE"/>
        </w:rPr>
        <w:t xml:space="preserve"> erwähnt, aber für den Kontext des Papers relevant ist der Einsatz von Autorität in </w:t>
      </w:r>
      <w:r w:rsidRPr="00161BE8">
        <w:rPr>
          <w:rFonts w:ascii="Calibri" w:hAnsi="Calibri" w:cs="Calibri"/>
          <w:color w:val="000000"/>
          <w:sz w:val="22"/>
          <w:szCs w:val="22"/>
          <w:lang w:val="de-DE"/>
        </w:rPr>
        <w:t xml:space="preserve">fundamentalistischen Gemeinschaften. Diese basieren auf einem engen Regelkorsett und damit einhergehenden Verhaltenskodex </w:t>
      </w:r>
      <w:r w:rsidRPr="00161BE8">
        <w:rPr>
          <w:rFonts w:ascii="Calibri" w:hAnsi="Calibri" w:cs="Calibri"/>
          <w:color w:val="000000"/>
          <w:sz w:val="22"/>
          <w:szCs w:val="22"/>
          <w:lang w:val="de-DE"/>
        </w:rPr>
        <w:fldChar w:fldCharType="begin"/>
      </w:r>
      <w:r w:rsidRPr="00161BE8">
        <w:rPr>
          <w:rFonts w:ascii="Calibri" w:hAnsi="Calibri" w:cs="Calibri"/>
          <w:color w:val="000000"/>
          <w:sz w:val="22"/>
          <w:szCs w:val="22"/>
          <w:lang w:val="de-DE"/>
        </w:rPr>
        <w:instrText xml:space="preserve"> ADDIN ZOTERO_ITEM CSL_CITATION {"citationID":"6pebH0ae","properties":{"formattedCitation":"(Emerson &amp; Hartman, 2006)","plainCitation":"(Emerson &amp; Hartman, 2006)","dontUpdate":true,"noteIndex":0},"citationItems":[{"id":236,"uris":["http://zotero.org/users/14566843/items/GLG9ARKI"],"itemData":{"id":236,"type":"article-journal","abstract":"Religious fundamentalism has risen to worldwide prominence since the 1970s. We review research on fundamentalist movements to learn what religious fundamentalisms are, if and why they appear to be resurging, their characteristics, their possible links to violence, and their relation to modernity. Surveying work over the past two decades, we find both substantial progress in sociological research on such movements and major holes in conceptualizing and understanding religious fundamentalism. We consider these weaknesses and suggest where research might next be directed.","container-title":"Annual Review of Sociology","DOI":"10.1146/annurev.soc.32.061604.123141","ISSN":"0360-0572, 1545-2115","issue":"1","journalAbbreviation":"Annu. Rev. Sociol.","language":"en","page":"127-144","source":"DOI.org (Crossref)","title":"The Rise of Religious Fundamentalism","volume":"32","author":[{"family":"Emerson","given":"Michael O."},{"family":"Hartman","given":"David"}],"issued":{"date-parts":[["2006",8,1]]}}}],"schema":"https://github.com/citation-style-language/schema/raw/master/csl-citation.json"} </w:instrText>
      </w:r>
      <w:r w:rsidRPr="00161BE8">
        <w:rPr>
          <w:rFonts w:ascii="Calibri" w:hAnsi="Calibri" w:cs="Calibri"/>
          <w:color w:val="000000"/>
          <w:sz w:val="22"/>
          <w:szCs w:val="22"/>
          <w:lang w:val="de-DE"/>
        </w:rPr>
        <w:fldChar w:fldCharType="separate"/>
      </w:r>
      <w:r w:rsidRPr="00161BE8">
        <w:rPr>
          <w:rFonts w:ascii="Calibri" w:hAnsi="Calibri" w:cs="Calibri"/>
          <w:noProof/>
          <w:color w:val="000000"/>
          <w:sz w:val="22"/>
          <w:szCs w:val="22"/>
          <w:lang w:val="de-DE"/>
        </w:rPr>
        <w:t>(Emerson und Hartman 2006, 134-135)</w:t>
      </w:r>
      <w:r w:rsidRPr="00161BE8">
        <w:rPr>
          <w:rFonts w:ascii="Calibri" w:hAnsi="Calibri" w:cs="Calibri"/>
          <w:color w:val="000000"/>
          <w:sz w:val="22"/>
          <w:szCs w:val="22"/>
          <w:lang w:val="de-DE"/>
        </w:rPr>
        <w:fldChar w:fldCharType="end"/>
      </w:r>
      <w:r w:rsidRPr="00161BE8">
        <w:rPr>
          <w:rFonts w:ascii="Calibri" w:hAnsi="Calibri" w:cs="Calibri"/>
          <w:color w:val="000000"/>
          <w:sz w:val="22"/>
          <w:szCs w:val="22"/>
          <w:lang w:val="de-DE"/>
        </w:rPr>
        <w:t xml:space="preserve">. Die häufig hierarchischen Strukturen laufen oft auf autoritäre Führungspersonen zu </w:t>
      </w:r>
      <w:r w:rsidRPr="00161BE8">
        <w:rPr>
          <w:rFonts w:ascii="Calibri" w:hAnsi="Calibri" w:cs="Calibri"/>
          <w:color w:val="000000"/>
          <w:sz w:val="22"/>
          <w:szCs w:val="22"/>
          <w:lang w:val="de-DE"/>
        </w:rPr>
        <w:fldChar w:fldCharType="begin"/>
      </w:r>
      <w:r w:rsidRPr="00161BE8">
        <w:rPr>
          <w:rFonts w:ascii="Calibri" w:hAnsi="Calibri" w:cs="Calibri"/>
          <w:color w:val="000000"/>
          <w:sz w:val="22"/>
          <w:szCs w:val="22"/>
          <w:lang w:val="de-DE"/>
        </w:rPr>
        <w:instrText xml:space="preserve"> ADDIN ZOTERO_ITEM CSL_CITATION {"citationID":"a1s5hrra3rs","properties":{"formattedCitation":"\\uldash{(Emerson und Hartman 2006)}","plainCitation":"(Emerson und Hartman 2006)","dontUpdate":true,"noteIndex":0},"citationItems":[{"id":236,"uris":["http://zotero.org/users/14566843/items/GLG9ARKI"],"itemData":{"id":236,"type":"article-journal","abstract":"Religious fundamentalism has risen to worldwide prominence since the 1970s. We review research on fundamentalist movements to learn what religious fundamentalisms are, if and why they appear to be resurging, their characteristics, their possible links to violence, and their relation to modernity. Surveying work over the past two decades, we find both substantial progress in sociological research on such movements and major holes in conceptualizing and understanding religious fundamentalism. We consider these weaknesses and suggest where research might next be directed.","container-title":"Annual Review of Sociology","DOI":"10.1146/annurev.soc.32.061604.123141","ISSN":"0360-0572, 1545-2115","issue":"1","journalAbbreviation":"Annu. Rev. Sociol.","language":"en","page":"127-144","source":"DOI.org (Crossref)","title":"The Rise of Religious Fundamentalism","volume":"32","author":[{"family":"Emerson","given":"Michael O."},{"family":"Hartman","given":"David"}],"issued":{"date-parts":[["2006",8,1]]}}}],"schema":"https://github.com/citation-style-language/schema/raw/master/csl-citation.json"} </w:instrText>
      </w:r>
      <w:r w:rsidRPr="00161BE8">
        <w:rPr>
          <w:rFonts w:ascii="Calibri" w:hAnsi="Calibri" w:cs="Calibri"/>
          <w:color w:val="000000"/>
          <w:sz w:val="22"/>
          <w:szCs w:val="22"/>
          <w:lang w:val="de-DE"/>
        </w:rPr>
        <w:fldChar w:fldCharType="separate"/>
      </w:r>
      <w:r w:rsidRPr="00161BE8">
        <w:rPr>
          <w:rFonts w:ascii="Calibri" w:hAnsi="Calibri" w:cs="Calibri"/>
          <w:color w:val="000000"/>
          <w:sz w:val="22"/>
          <w:szCs w:val="22"/>
          <w:lang w:val="de-DE"/>
        </w:rPr>
        <w:t xml:space="preserve">(Emerson und Hartman 2006, 134; </w:t>
      </w:r>
      <w:r w:rsidRPr="00161BE8">
        <w:rPr>
          <w:rFonts w:ascii="Calibri" w:hAnsi="Calibri" w:cs="Calibri"/>
          <w:color w:val="000000"/>
          <w:sz w:val="22"/>
          <w:szCs w:val="22"/>
          <w:lang w:val="de-DE"/>
        </w:rPr>
        <w:fldChar w:fldCharType="end"/>
      </w:r>
      <w:r w:rsidRPr="00161BE8">
        <w:rPr>
          <w:rFonts w:ascii="Calibri" w:hAnsi="Calibri" w:cs="Calibri"/>
          <w:color w:val="000000"/>
          <w:sz w:val="22"/>
          <w:szCs w:val="22"/>
          <w:lang w:val="de-DE"/>
        </w:rPr>
        <w:fldChar w:fldCharType="begin"/>
      </w:r>
      <w:r w:rsidRPr="00161BE8">
        <w:rPr>
          <w:rFonts w:ascii="Calibri" w:hAnsi="Calibri" w:cs="Calibri"/>
          <w:color w:val="000000"/>
          <w:sz w:val="22"/>
          <w:szCs w:val="22"/>
          <w:lang w:val="de-DE"/>
        </w:rPr>
        <w:instrText xml:space="preserve"> ADDIN ZOTERO_ITEM CSL_CITATION {"citationID":"fFeSvriU","properties":{"formattedCitation":"(Peels 2023)","plainCitation":"(Peels 2023)","dontUpdate":true,"noteIndex":0},"citationItems":[{"id":96,"uris":["http://zotero.org/users/14566843/items/J42UVP3N"],"itemData":{"id":96,"type":"article-journal","abstract":"Abstract\n            This article combines two things: it explores how one should undertake the project of defining ‘fundamentalism’ and, based on the ensuing desiderata, it actually provides such a definition. After a few preliminary comments on ‘fundamentalism’ and the value of defining it, five goals of definitions are distinguished and elucidated: accuracy, precision, fairness, clarity, and fecundity. After that, various kinds of definitions and their interrelations are spelled out. Finally, the author provides and defends a so-called explicative definition of ‘fundamentalism’ both in terms of necessary and sufficient conditions and in terms of stereotypical properties. On the basis of empirical literature and a scoping review, it is argued that a movement is fundamentalist if and only if it is (i) reactionary towards modern developments, (ii) itself modern, and (iii) based on a grand historical narrative. More specifically, a movement is fundamentalist if it exemplifies a large number of the following properties: (i) it is reactionary in its rejection of liberal ethics, science, or technological exploitation; (ii) it is modern in seeking certainty and control, embracing literalism and infallibility about particular scriptures, actively using media and technology, or making universal claims; and (iii) it presents a grand historical narrative in terms of paradise, fall, and redemption, or cosmic dualism.","container-title":"Religious Studies","DOI":"10.1017/S0034412522000683","ISSN":"0034-4125, 1469-901X","issue":"4","journalAbbreviation":"Rel. Stud.","language":"en","page":"729-747","source":"DOI.org (Crossref)","title":"On defining ‘fundamentalism’","volume":"59","author":[{"family":"Peels","given":"Rik"}],"issued":{"date-parts":[["2023",12]]}}}],"schema":"https://github.com/citation-style-language/schema/raw/master/csl-citation.json"} </w:instrText>
      </w:r>
      <w:r w:rsidRPr="00161BE8">
        <w:rPr>
          <w:rFonts w:ascii="Calibri" w:hAnsi="Calibri" w:cs="Calibri"/>
          <w:color w:val="000000"/>
          <w:sz w:val="22"/>
          <w:szCs w:val="22"/>
          <w:lang w:val="de-DE"/>
        </w:rPr>
        <w:fldChar w:fldCharType="separate"/>
      </w:r>
      <w:r w:rsidRPr="00161BE8">
        <w:rPr>
          <w:rFonts w:ascii="Calibri" w:hAnsi="Calibri" w:cs="Calibri"/>
          <w:noProof/>
          <w:color w:val="000000"/>
          <w:sz w:val="22"/>
          <w:szCs w:val="22"/>
          <w:lang w:val="de-DE"/>
        </w:rPr>
        <w:t>Peels 2023, 744; Eisenstadt 1999, 119)</w:t>
      </w:r>
      <w:r w:rsidRPr="00161BE8">
        <w:rPr>
          <w:rFonts w:ascii="Calibri" w:hAnsi="Calibri" w:cs="Calibri"/>
          <w:color w:val="000000"/>
          <w:sz w:val="22"/>
          <w:szCs w:val="22"/>
          <w:lang w:val="de-DE"/>
        </w:rPr>
        <w:fldChar w:fldCharType="end"/>
      </w:r>
      <w:r w:rsidRPr="00161BE8">
        <w:rPr>
          <w:rFonts w:ascii="Calibri" w:hAnsi="Calibri" w:cs="Calibri"/>
          <w:color w:val="000000"/>
          <w:sz w:val="22"/>
          <w:szCs w:val="22"/>
          <w:lang w:val="de-DE"/>
        </w:rPr>
        <w:t xml:space="preserve"> die, so wie die heiligen Schriften auch, selten (öffentlich) hinterfragt werden. Trotz zumeist keiner direkten Zwangsausübung kann diese fehlende Kritikmöglich- und -fähigkeit zu Abhängigkeitsstrukturen führen </w:t>
      </w:r>
      <w:r w:rsidRPr="00161BE8">
        <w:rPr>
          <w:rFonts w:ascii="Calibri" w:hAnsi="Calibri" w:cs="Calibri"/>
          <w:color w:val="000000"/>
          <w:sz w:val="22"/>
          <w:szCs w:val="22"/>
          <w:lang w:val="de-DE"/>
        </w:rPr>
        <w:fldChar w:fldCharType="begin"/>
      </w:r>
      <w:r w:rsidRPr="00161BE8">
        <w:rPr>
          <w:rFonts w:ascii="Calibri" w:hAnsi="Calibri" w:cs="Calibri"/>
          <w:color w:val="000000"/>
          <w:sz w:val="22"/>
          <w:szCs w:val="22"/>
          <w:lang w:val="de-DE"/>
        </w:rPr>
        <w:instrText xml:space="preserve"> ADDIN ZOTERO_ITEM CSL_CITATION {"citationID":"jcu63HNj","properties":{"formattedCitation":"(Ozzano 2009)","plainCitation":"(Ozzano 2009)","dontUpdate":true,"noteIndex":0},"citationItems":[{"id":45,"uris":["http://zotero.org/users/14566843/items/PFA2PF4B"],"itemData":{"id":45,"type":"article-journal","abstract":"This essay deals with religious fundamentalist movements engaged in democratic politics: a phenomenon still not thoroughly analyzed by comparative political science. First of all, it proposes a definition of religious fundamentalism which can be suitable for political science research (connecting the existing theories about fundamentalism to the literature about collective identities and social movements: particularly the political opportunity structure and resource mobilization models). Later, it takes into account four cases of religious fundamentalist movements in democratic regimes: the Christian right in the USA, the sangh parivar in India, the Jewish religious nationalist movement in Israel, and the Islamist movement in Turkey. In this section, the main features of the movements’ mobilization and their political strategies are singled out. The work eventually tries to find out common patterns by comparing the different movements, their relationship with politics, and their impact on public policies. Particularly, it proposes a typology of fundamentalist movements in democracy, according to their political strategies and the ideological orientation of their issues.","container-title":"POLITICS AND RELIGION JOURNAL","DOI":"10.54561/prj0301127o","ISSN":"1820-659X, 1820-6581","issue":"1","journalAbbreviation":"prj","language":"en","page":"127-153","source":"DOI.org (Crossref)","title":"RELIGIOUS FUNDAMENTALISM AND DEMOCRACY","volume":"3","author":[{"family":"Ozzano","given":"Luca"}],"issued":{"date-parts":[["2009",6,1]]}}}],"schema":"https://github.com/citation-style-language/schema/raw/master/csl-citation.json"} </w:instrText>
      </w:r>
      <w:r w:rsidRPr="00161BE8">
        <w:rPr>
          <w:rFonts w:ascii="Calibri" w:hAnsi="Calibri" w:cs="Calibri"/>
          <w:color w:val="000000"/>
          <w:sz w:val="22"/>
          <w:szCs w:val="22"/>
          <w:lang w:val="de-DE"/>
        </w:rPr>
        <w:fldChar w:fldCharType="separate"/>
      </w:r>
      <w:r w:rsidRPr="00161BE8">
        <w:rPr>
          <w:rFonts w:ascii="Calibri" w:hAnsi="Calibri" w:cs="Calibri"/>
          <w:noProof/>
          <w:color w:val="000000"/>
          <w:sz w:val="22"/>
          <w:szCs w:val="22"/>
          <w:lang w:val="de-DE"/>
        </w:rPr>
        <w:t>(Ozzano 2009</w:t>
      </w:r>
      <w:r w:rsidRPr="00161BE8">
        <w:rPr>
          <w:rFonts w:ascii="Calibri" w:hAnsi="Calibri" w:cs="Calibri"/>
          <w:color w:val="000000"/>
          <w:sz w:val="22"/>
          <w:szCs w:val="22"/>
          <w:lang w:val="de-DE"/>
        </w:rPr>
        <w:fldChar w:fldCharType="end"/>
      </w:r>
      <w:r w:rsidRPr="00161BE8">
        <w:rPr>
          <w:rFonts w:ascii="Calibri" w:hAnsi="Calibri" w:cs="Calibri"/>
          <w:color w:val="000000"/>
          <w:sz w:val="22"/>
          <w:szCs w:val="22"/>
          <w:lang w:val="de-DE"/>
        </w:rPr>
        <w:t>, 130)</w:t>
      </w:r>
      <w:r w:rsidRPr="00161BE8">
        <w:rPr>
          <w:rFonts w:ascii="Calibri" w:hAnsi="Calibri" w:cs="Calibri"/>
          <w:sz w:val="22"/>
          <w:szCs w:val="22"/>
          <w:lang w:val="de-DE"/>
        </w:rPr>
        <w:t>.</w:t>
      </w:r>
    </w:p>
    <w:p w14:paraId="7BA6E0CC" w14:textId="77777777" w:rsidR="00A768F4" w:rsidRPr="00161BE8" w:rsidRDefault="00A768F4" w:rsidP="00A768F4">
      <w:pPr>
        <w:pStyle w:val="StandardWeb"/>
        <w:spacing w:before="0" w:beforeAutospacing="0" w:after="0" w:afterAutospacing="0" w:line="276" w:lineRule="auto"/>
        <w:jc w:val="both"/>
        <w:rPr>
          <w:rFonts w:ascii="Calibri" w:hAnsi="Calibri" w:cs="Calibri"/>
          <w:sz w:val="22"/>
          <w:szCs w:val="22"/>
          <w:lang w:val="de-DE"/>
        </w:rPr>
      </w:pPr>
      <w:r w:rsidRPr="00161BE8">
        <w:rPr>
          <w:rFonts w:ascii="Calibri" w:hAnsi="Calibri" w:cs="Calibri"/>
          <w:sz w:val="22"/>
          <w:szCs w:val="22"/>
          <w:lang w:val="de-DE"/>
        </w:rPr>
        <w:t xml:space="preserve">Man kann hier von einer doppelten Autoritätsstruktur sprechen: Zum einen wird sie ausgeübt durch charismatische oder institutionell legitimierte Führungsfiguren; zum anderen entfaltet sich eine transzendente Autorität, die sich auf die unumstößliche Gültigkeit göttlicher Gebote beruft </w:t>
      </w:r>
      <w:r w:rsidRPr="00161BE8">
        <w:rPr>
          <w:rFonts w:ascii="Calibri" w:hAnsi="Calibri" w:cs="Calibri"/>
          <w:sz w:val="22"/>
          <w:szCs w:val="22"/>
          <w:lang w:val="de-DE"/>
        </w:rPr>
        <w:fldChar w:fldCharType="begin"/>
      </w:r>
      <w:r w:rsidRPr="00161BE8">
        <w:rPr>
          <w:rFonts w:ascii="Calibri" w:hAnsi="Calibri" w:cs="Calibri"/>
          <w:sz w:val="22"/>
          <w:szCs w:val="22"/>
          <w:lang w:val="de-DE"/>
        </w:rPr>
        <w:instrText xml:space="preserve"> ADDIN ZOTERO_ITEM CSL_CITATION {"citationID":"aJEi4Lk0","properties":{"formattedCitation":"(Kellich 2023)","plainCitation":"(Kellich 2023)","dontUpdate":true,"noteIndex":0},"citationItems":[{"id":316,"uris":["http://zotero.org/users/14566843/items/6WVAW3AE"],"itemData":{"id":316,"type":"paper-conference","container-title":"Education and New Developments 2023","page":"216-220","title":"Doubt in religious fundamentalism: Education between authority and rational autonomy","volume":"1","author":[{"family":"Kellich","given":"Rahel"}],"issued":{"date-parts":[["2023"]]}}}],"schema":"https://github.com/citation-style-language/schema/raw/master/csl-citation.json"} </w:instrText>
      </w:r>
      <w:r w:rsidRPr="00161BE8">
        <w:rPr>
          <w:rFonts w:ascii="Calibri" w:hAnsi="Calibri" w:cs="Calibri"/>
          <w:sz w:val="22"/>
          <w:szCs w:val="22"/>
          <w:lang w:val="de-DE"/>
        </w:rPr>
        <w:fldChar w:fldCharType="separate"/>
      </w:r>
      <w:r w:rsidRPr="00161BE8">
        <w:rPr>
          <w:rFonts w:ascii="Calibri" w:hAnsi="Calibri" w:cs="Calibri"/>
          <w:noProof/>
          <w:sz w:val="22"/>
          <w:szCs w:val="22"/>
          <w:lang w:val="de-DE"/>
        </w:rPr>
        <w:t>(Kellich 2023, 218)</w:t>
      </w:r>
      <w:r w:rsidRPr="00161BE8">
        <w:rPr>
          <w:rFonts w:ascii="Calibri" w:hAnsi="Calibri" w:cs="Calibri"/>
          <w:sz w:val="22"/>
          <w:szCs w:val="22"/>
          <w:lang w:val="de-DE"/>
        </w:rPr>
        <w:fldChar w:fldCharType="end"/>
      </w:r>
      <w:r w:rsidRPr="00161BE8">
        <w:rPr>
          <w:rFonts w:ascii="Calibri" w:hAnsi="Calibri" w:cs="Calibri"/>
          <w:sz w:val="22"/>
          <w:szCs w:val="22"/>
          <w:lang w:val="de-DE"/>
        </w:rPr>
        <w:t>.</w:t>
      </w:r>
    </w:p>
    <w:p w14:paraId="4C0AF023" w14:textId="77777777" w:rsidR="00A768F4" w:rsidRPr="00AE5BFC" w:rsidRDefault="00A768F4" w:rsidP="00A768F4">
      <w:pPr>
        <w:pStyle w:val="StandardWeb"/>
        <w:spacing w:before="0" w:beforeAutospacing="0" w:after="0" w:afterAutospacing="0" w:line="276" w:lineRule="auto"/>
        <w:jc w:val="both"/>
        <w:rPr>
          <w:rFonts w:ascii="Calibri" w:hAnsi="Calibri" w:cs="Calibri"/>
          <w:szCs w:val="22"/>
          <w:lang w:val="de-DE"/>
        </w:rPr>
      </w:pPr>
    </w:p>
    <w:p w14:paraId="5AAB5CA2" w14:textId="77777777" w:rsidR="00A768F4" w:rsidRPr="009837E9" w:rsidRDefault="00A768F4" w:rsidP="00A768F4">
      <w:pPr>
        <w:pStyle w:val="Listenabsatz"/>
        <w:numPr>
          <w:ilvl w:val="0"/>
          <w:numId w:val="23"/>
        </w:numPr>
        <w:spacing w:after="160" w:line="278" w:lineRule="auto"/>
        <w:rPr>
          <w:rFonts w:cs="Calibri"/>
          <w:sz w:val="22"/>
          <w:szCs w:val="22"/>
        </w:rPr>
      </w:pPr>
      <w:r w:rsidRPr="009837E9">
        <w:rPr>
          <w:rFonts w:cs="Calibri"/>
          <w:sz w:val="22"/>
          <w:szCs w:val="22"/>
        </w:rPr>
        <w:t>Episch</w:t>
      </w:r>
    </w:p>
    <w:p w14:paraId="7B0D9E98" w14:textId="77777777" w:rsidR="00A768F4" w:rsidRPr="00496E39" w:rsidRDefault="00A768F4" w:rsidP="00A768F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jc w:val="both"/>
        <w:rPr>
          <w:rFonts w:cs="Calibri"/>
          <w:color w:val="000000"/>
        </w:rPr>
      </w:pPr>
      <w:r w:rsidRPr="00496E39">
        <w:rPr>
          <w:rFonts w:cs="Calibri"/>
          <w:color w:val="000000"/>
        </w:rPr>
        <w:t xml:space="preserve">Die beschriebene absolutistische und ausnahmslose Weltsicht führt in fundamentalistischen Gemeinschaften zu einer rigiden Trennung zwischen </w:t>
      </w:r>
      <w:r w:rsidRPr="00496E39">
        <w:rPr>
          <w:rFonts w:cs="Calibri"/>
          <w:i/>
          <w:iCs/>
          <w:color w:val="000000"/>
        </w:rPr>
        <w:t>Gut</w:t>
      </w:r>
      <w:r w:rsidRPr="00496E39">
        <w:rPr>
          <w:rFonts w:cs="Calibri"/>
          <w:color w:val="000000"/>
        </w:rPr>
        <w:t xml:space="preserve"> und </w:t>
      </w:r>
      <w:r w:rsidRPr="00496E39">
        <w:rPr>
          <w:rFonts w:cs="Calibri"/>
          <w:i/>
          <w:iCs/>
          <w:color w:val="000000"/>
        </w:rPr>
        <w:t>Böse</w:t>
      </w:r>
      <w:r w:rsidRPr="00496E39">
        <w:rPr>
          <w:rFonts w:cs="Calibri"/>
          <w:color w:val="000000"/>
        </w:rPr>
        <w:t xml:space="preserve">; Himmel und Verderben; (erwählter) Gemeinschaft und äußerer/säkularer Welt </w:t>
      </w:r>
      <w:r w:rsidRPr="00496E39">
        <w:rPr>
          <w:rFonts w:cs="Calibri"/>
          <w:color w:val="000000"/>
        </w:rPr>
        <w:fldChar w:fldCharType="begin"/>
      </w:r>
      <w:r w:rsidRPr="00496E39">
        <w:rPr>
          <w:rFonts w:cs="Calibri"/>
          <w:color w:val="000000"/>
        </w:rPr>
        <w:instrText xml:space="preserve"> ADDIN ZOTERO_ITEM CSL_CITATION {"citationID":"am6klmq0ca","properties":{"formattedCitation":"\\uldash{(Almond u.\\uc0\\u160{}a., o.\\uc0\\u160{}J.)}","plainCitation":"(Almond u. a., o. J.)","dontUpdate":true,"noteIndex":0},"citationItems":[{"id":312,"uris":["http://zotero.org/users/14566843/items/Z4ZIM86A"],"itemData":{"id":312,"type":"chapter","container-title":"Fundamentalisms Comprehended, The Fundamentalism Project","event-place":"Chicago","page":"399–424","publisher":"The University of Chicago Press","publisher-place":"Chicago","title":"Fundamentalism: genus and species","volume":"5","author":[{"family":"Almond","given":"GA"},{"family":"Sivan","given":"E"},{"family":"Appleby","given":"RS"}],"issued":{"date-parts":[["1995"]]}}}],"schema":"https://github.com/citation-style-language/schema/raw/master/csl-citation.json"} </w:instrText>
      </w:r>
      <w:r w:rsidRPr="00496E39">
        <w:rPr>
          <w:rFonts w:cs="Calibri"/>
          <w:color w:val="000000"/>
        </w:rPr>
        <w:fldChar w:fldCharType="separate"/>
      </w:r>
      <w:r w:rsidRPr="00496E39">
        <w:rPr>
          <w:rFonts w:cs="Calibri"/>
          <w:color w:val="000000"/>
        </w:rPr>
        <w:t>(Almond, Sivan und Appleby 1995, 412)</w:t>
      </w:r>
      <w:r w:rsidRPr="00496E39">
        <w:rPr>
          <w:rFonts w:cs="Calibri"/>
          <w:color w:val="000000"/>
        </w:rPr>
        <w:fldChar w:fldCharType="end"/>
      </w:r>
      <w:r w:rsidRPr="00496E39">
        <w:rPr>
          <w:rFonts w:cs="Calibri"/>
          <w:color w:val="000000"/>
        </w:rPr>
        <w:t xml:space="preserve">. Dieser kosmische Dualismus fungiert dabei als Mechanismus zur Aufrechterhaltung der kollektiven Reinheitsvorstellungen innerhalb der Gemeinschaft </w:t>
      </w:r>
      <w:r w:rsidRPr="00496E39">
        <w:rPr>
          <w:rFonts w:cs="Calibri"/>
          <w:color w:val="000000"/>
        </w:rPr>
        <w:fldChar w:fldCharType="begin"/>
      </w:r>
      <w:r w:rsidRPr="00496E39">
        <w:rPr>
          <w:rFonts w:cs="Calibri"/>
          <w:color w:val="000000"/>
        </w:rPr>
        <w:instrText xml:space="preserve"> ADDIN ZOTERO_ITEM CSL_CITATION {"citationID":"uLNdoe5r","properties":{"formattedCitation":"(Lutz &amp; Kiesel, 2022)","plainCitation":"(Lutz &amp; Kiesel, 2022)","dontUpdate":true,"noteIndex":0},"citationItems":[{"id":215,"uris":["http://zotero.org/users/local/Q410LiLN/items/P22RYMEK","http://zotero.org/users/14566843/items/P22RYMEK"],"itemData":{"id":215,"type":"book","collection-title":"Grundlagentexte Soziale Berufe","edition":"2., vollständig überarbeitete und erweiterte Auflage","event-place":"Weinheim Basel","ISBN":"978-3-7799-4470-6","language":"ger","number-of-pages":"479","publisher":"Beltz Juventa","publisher-place":"Weinheim Basel","source":"K10plus ISBN","title":"Sozialarbeit und Religion: Herausforderungen und Antworten","title-short":"Sozialarbeit und Religion","editor":[{"family":"Lutz","given":"Ronald"},{"family":"Kiesel","given":"Doron"}],"issued":{"date-parts":[["2022"]]}}}],"schema":"https://github.com/citation-style-language/schema/raw/master/csl-citation.json"} </w:instrText>
      </w:r>
      <w:r w:rsidRPr="00496E39">
        <w:rPr>
          <w:rFonts w:cs="Calibri"/>
          <w:color w:val="000000"/>
        </w:rPr>
        <w:fldChar w:fldCharType="separate"/>
      </w:r>
      <w:r w:rsidRPr="00496E39">
        <w:rPr>
          <w:rFonts w:cs="Calibri"/>
          <w:noProof/>
          <w:color w:val="000000"/>
        </w:rPr>
        <w:t>(Lutz und Kiesel 2022, 302)</w:t>
      </w:r>
      <w:r w:rsidRPr="00496E39">
        <w:rPr>
          <w:rFonts w:cs="Calibri"/>
          <w:color w:val="000000"/>
        </w:rPr>
        <w:fldChar w:fldCharType="end"/>
      </w:r>
      <w:r w:rsidRPr="00496E39">
        <w:rPr>
          <w:rFonts w:cs="Calibri"/>
          <w:color w:val="000000"/>
        </w:rPr>
        <w:t xml:space="preserve">. Durch die Abgrenzung wird ein enges Zugehörigkeitsgefühl geschaffen sowie die Stellung als göttlich auserwählte Gruppe gefestigt </w:t>
      </w:r>
      <w:r w:rsidRPr="00496E39">
        <w:rPr>
          <w:rFonts w:cs="Calibri"/>
          <w:color w:val="000000"/>
        </w:rPr>
        <w:fldChar w:fldCharType="begin"/>
      </w:r>
      <w:r w:rsidRPr="00496E39">
        <w:rPr>
          <w:rFonts w:cs="Calibri"/>
          <w:color w:val="000000"/>
        </w:rPr>
        <w:instrText xml:space="preserve"> ADDIN ZOTERO_ITEM CSL_CITATION {"citationID":"c8cVnSqd","properties":{"formattedCitation":"(Peels und Kindermann 2024)","plainCitation":"(Peels und Kindermann 2024)","dontUpdate":true,"noteIndex":0},"citationItems":[{"id":104,"uris":["http://zotero.org/users/14566843/items/48JLW7H2"],"itemData":{"id":104,"type":"article-journal","container-title":"Journal of Political Ideologies","DOI":"10.1080/13569317.2022.2138294","ISSN":"1356-9317, 1469-9613","issue":"3","journalAbbreviation":"Journal of Political Ideologies","language":"en","page":"492-512","source":"DOI.org (Crossref)","title":"What are fundamentalist beliefs?","volume":"29","author":[{"family":"Peels","given":"Rik"},{"family":"Kindermann","given":"Nora"}],"issued":{"date-parts":[["2024",9]]}}}],"schema":"https://github.com/citation-style-language/schema/raw/master/csl-citation.json"} </w:instrText>
      </w:r>
      <w:r w:rsidRPr="00496E39">
        <w:rPr>
          <w:rFonts w:cs="Calibri"/>
          <w:color w:val="000000"/>
        </w:rPr>
        <w:fldChar w:fldCharType="separate"/>
      </w:r>
      <w:r w:rsidRPr="00496E39">
        <w:rPr>
          <w:rFonts w:cs="Calibri"/>
          <w:noProof/>
          <w:color w:val="000000"/>
        </w:rPr>
        <w:t>(Peels und Kindermann 2024, 500)</w:t>
      </w:r>
      <w:r w:rsidRPr="00496E39">
        <w:rPr>
          <w:rFonts w:cs="Calibri"/>
          <w:color w:val="000000"/>
        </w:rPr>
        <w:fldChar w:fldCharType="end"/>
      </w:r>
      <w:r w:rsidRPr="00496E39">
        <w:rPr>
          <w:rFonts w:cs="Calibri"/>
          <w:color w:val="000000"/>
        </w:rPr>
        <w:t xml:space="preserve">. Wenn die Regeln und der Standpunkt, nachdem die Welt aufgeteilt ist, so eindeutig sind, erscheint es sinnvoll sich von der sündhaften Welt abzugrenzen. Dieses Konzept des </w:t>
      </w:r>
      <w:r w:rsidRPr="00496E39">
        <w:rPr>
          <w:rFonts w:cs="Calibri"/>
          <w:i/>
          <w:iCs/>
          <w:color w:val="000000"/>
        </w:rPr>
        <w:t>Othering</w:t>
      </w:r>
      <w:r w:rsidRPr="00496E39">
        <w:rPr>
          <w:rFonts w:cs="Calibri"/>
          <w:color w:val="000000"/>
        </w:rPr>
        <w:t xml:space="preserve"> ist nicht nur auf eine spirituelle Ebene bezogen, sondern findet auch im Alltäglichen Anklang </w:t>
      </w:r>
      <w:r w:rsidRPr="00496E39">
        <w:rPr>
          <w:rFonts w:cs="Calibri"/>
          <w:color w:val="000000"/>
        </w:rPr>
        <w:fldChar w:fldCharType="begin"/>
      </w:r>
      <w:r w:rsidRPr="00496E39">
        <w:rPr>
          <w:rFonts w:cs="Calibri"/>
          <w:color w:val="000000"/>
        </w:rPr>
        <w:instrText xml:space="preserve"> ADDIN ZOTERO_ITEM CSL_CITATION {"citationID":"UjEtwkDy","properties":{"formattedCitation":"(Missier, o.\\uc0\\u160{}J.)","plainCitation":"(Missier, o. J.)","dontUpdate":true,"noteIndex":0},"citationItems":[{"id":101,"uris":["http://zotero.org/users/local/Q410LiLN/items/VRAHEE36","http://zotero.org/users/14566843/items/VRAHEE36"],"itemData":{"id":101,"type":"article-journal","container-title":"2022","journalAbbreviation":"he Journal for Deradicalization (JD)","page":"255-285","title":"Fundamentalism and the search for meaning in digital media among Gen Y and Gen Z.","volume":"33","author":[{"family":"Missier","given":"Clyde"}]}}],"schema":"https://github.com/citation-style-language/schema/raw/master/csl-citation.json"} </w:instrText>
      </w:r>
      <w:r w:rsidRPr="00496E39">
        <w:rPr>
          <w:rFonts w:cs="Calibri"/>
          <w:color w:val="000000"/>
        </w:rPr>
        <w:fldChar w:fldCharType="separate"/>
      </w:r>
      <w:r w:rsidRPr="00496E39">
        <w:rPr>
          <w:rFonts w:cs="Calibri"/>
          <w:color w:val="000000"/>
        </w:rPr>
        <w:t>(Missier 2022, 265)</w:t>
      </w:r>
      <w:r w:rsidRPr="00496E39">
        <w:rPr>
          <w:rFonts w:cs="Calibri"/>
          <w:color w:val="000000"/>
        </w:rPr>
        <w:fldChar w:fldCharType="end"/>
      </w:r>
      <w:r w:rsidRPr="00496E39">
        <w:rPr>
          <w:rFonts w:cs="Calibri"/>
          <w:color w:val="000000"/>
        </w:rPr>
        <w:t xml:space="preserve">. Durch eine Vielzahl von Regeln und zum Teil komplexe Codes, </w:t>
      </w:r>
      <w:r>
        <w:rPr>
          <w:rFonts w:cs="Calibri"/>
          <w:color w:val="000000"/>
        </w:rPr>
        <w:t>die</w:t>
      </w:r>
      <w:r w:rsidRPr="00496E39">
        <w:rPr>
          <w:rFonts w:cs="Calibri"/>
          <w:color w:val="000000"/>
        </w:rPr>
        <w:t xml:space="preserve"> sich unter anderem in Geschlechter- und Sexualverhalten, Erziehungsst</w:t>
      </w:r>
      <w:r>
        <w:rPr>
          <w:rFonts w:cs="Calibri"/>
          <w:color w:val="000000"/>
        </w:rPr>
        <w:t>i</w:t>
      </w:r>
      <w:r w:rsidRPr="00496E39">
        <w:rPr>
          <w:rFonts w:cs="Calibri"/>
          <w:color w:val="000000"/>
        </w:rPr>
        <w:t xml:space="preserve">len, Kleidungsfragen oder Sprachgebrauch manifestieren, wird die Abgrenzung der </w:t>
      </w:r>
      <w:r w:rsidRPr="00383D2F">
        <w:rPr>
          <w:rFonts w:cs="Calibri"/>
          <w:i/>
          <w:iCs/>
          <w:color w:val="000000"/>
        </w:rPr>
        <w:t>Inner-Group</w:t>
      </w:r>
      <w:r w:rsidRPr="00496E39">
        <w:rPr>
          <w:rFonts w:cs="Calibri"/>
          <w:color w:val="000000"/>
        </w:rPr>
        <w:t xml:space="preserve"> ausformuliert </w:t>
      </w:r>
      <w:r w:rsidRPr="00496E39">
        <w:rPr>
          <w:rFonts w:cs="Calibri"/>
          <w:color w:val="000000"/>
        </w:rPr>
        <w:fldChar w:fldCharType="begin"/>
      </w:r>
      <w:r w:rsidRPr="00496E39">
        <w:rPr>
          <w:rFonts w:cs="Calibri"/>
          <w:color w:val="000000"/>
        </w:rPr>
        <w:instrText xml:space="preserve"> ADDIN ZOTERO_ITEM CSL_CITATION {"citationID":"2DF4xdt2","properties":{"formattedCitation":"(Ozzano 2009)","plainCitation":"(Ozzano 2009)","dontUpdate":true,"noteIndex":0},"citationItems":[{"id":45,"uris":["http://zotero.org/users/14566843/items/PFA2PF4B"],"itemData":{"id":45,"type":"article-journal","abstract":"This essay deals with religious fundamentalist movements engaged in democratic politics: a phenomenon still not thoroughly analyzed by comparative political science. First of all, it proposes a definition of religious fundamentalism which can be suitable for political science research (connecting the existing theories about fundamentalism to the literature about collective identities and social movements: particularly the political opportunity structure and resource mobilization models). Later, it takes into account four cases of religious fundamentalist movements in democratic regimes: the Christian right in the USA, the sangh parivar in India, the Jewish religious nationalist movement in Israel, and the Islamist movement in Turkey. In this section, the main features of the movements’ mobilization and their political strategies are singled out. The work eventually tries to find out common patterns by comparing the different movements, their relationship with politics, and their impact on public policies. Particularly, it proposes a typology of fundamentalist movements in democracy, according to their political strategies and the ideological orientation of their issues.","container-title":"POLITICS AND RELIGION JOURNAL","DOI":"10.54561/prj0301127o","ISSN":"1820-659X, 1820-6581","issue":"1","journalAbbreviation":"prj","language":"en","page":"127-153","source":"DOI.org (Crossref)","title":"RELIGIOUS FUNDAMENTALISM AND DEMOCRACY","volume":"3","author":[{"family":"Ozzano","given":"Luca"}],"issued":{"date-parts":[["2009",6,1]]}}}],"schema":"https://github.com/citation-style-language/schema/raw/master/csl-citation.json"} </w:instrText>
      </w:r>
      <w:r w:rsidRPr="00496E39">
        <w:rPr>
          <w:rFonts w:cs="Calibri"/>
          <w:color w:val="000000"/>
        </w:rPr>
        <w:fldChar w:fldCharType="separate"/>
      </w:r>
      <w:r w:rsidRPr="00496E39">
        <w:rPr>
          <w:rFonts w:cs="Calibri"/>
          <w:noProof/>
          <w:color w:val="000000"/>
        </w:rPr>
        <w:t>(Ozzano 2009, 129)</w:t>
      </w:r>
      <w:r w:rsidRPr="00496E39">
        <w:rPr>
          <w:rFonts w:cs="Calibri"/>
          <w:color w:val="000000"/>
        </w:rPr>
        <w:fldChar w:fldCharType="end"/>
      </w:r>
      <w:r w:rsidRPr="00496E39">
        <w:rPr>
          <w:rFonts w:cs="Calibri"/>
          <w:color w:val="000000"/>
        </w:rPr>
        <w:t>.</w:t>
      </w:r>
    </w:p>
    <w:p w14:paraId="548A3510" w14:textId="77777777" w:rsidR="00A768F4" w:rsidRPr="00C77966" w:rsidRDefault="00A768F4" w:rsidP="00A768F4">
      <w:pPr>
        <w:pStyle w:val="StandardWeb"/>
        <w:spacing w:before="0" w:beforeAutospacing="0" w:after="0" w:afterAutospacing="0" w:line="276" w:lineRule="auto"/>
        <w:jc w:val="both"/>
        <w:rPr>
          <w:rFonts w:ascii="Calibri" w:eastAsiaTheme="minorHAnsi" w:hAnsi="Calibri" w:cs="Calibri"/>
          <w:color w:val="000000"/>
          <w:sz w:val="22"/>
          <w:szCs w:val="22"/>
          <w:lang w:val="de-DE"/>
          <w14:ligatures w14:val="standardContextual"/>
        </w:rPr>
      </w:pPr>
      <w:r w:rsidRPr="00C77966">
        <w:rPr>
          <w:rFonts w:ascii="Calibri" w:hAnsi="Calibri" w:cs="Calibri"/>
          <w:color w:val="000000"/>
          <w:sz w:val="22"/>
          <w:szCs w:val="22"/>
          <w:lang w:val="de-DE"/>
        </w:rPr>
        <w:t xml:space="preserve">Grundlegend für den epischen Unterbau fundamentalistischen Glaubens ist die Fokussierung auf das Jenseits. Das diesseitige Leben wird vornehmlich als Durchgangsstadium, als Vorbereitung auf ein jenseitiges, göttlich verheißenes Leben begriffen. Häufig ist dieses Verständnis eingebettet in eine apokalyptische Erzählstruktur </w:t>
      </w:r>
      <w:r w:rsidRPr="00C77966">
        <w:rPr>
          <w:rFonts w:ascii="Calibri" w:eastAsiaTheme="minorHAnsi" w:hAnsi="Calibri" w:cs="Calibri"/>
          <w:color w:val="000000"/>
          <w:sz w:val="22"/>
          <w:szCs w:val="22"/>
          <w:lang w:val="de-DE"/>
          <w14:ligatures w14:val="standardContextual"/>
        </w:rPr>
        <w:fldChar w:fldCharType="begin"/>
      </w:r>
      <w:r w:rsidRPr="00C77966">
        <w:rPr>
          <w:rFonts w:ascii="Calibri" w:eastAsiaTheme="minorHAnsi" w:hAnsi="Calibri" w:cs="Calibri"/>
          <w:color w:val="000000"/>
          <w:sz w:val="22"/>
          <w:szCs w:val="22"/>
          <w:lang w:val="de-DE"/>
          <w14:ligatures w14:val="standardContextual"/>
        </w:rPr>
        <w:instrText xml:space="preserve"> ADDIN ZOTERO_ITEM CSL_CITATION {"citationID":"7yD0xjau","properties":{"formattedCitation":"(Lutz und Kiesel 2022)","plainCitation":"(Lutz und Kiesel 2022)","dontUpdate":true,"noteIndex":0},"citationItems":[{"id":215,"uris":["http://zotero.org/users/local/Q410LiLN/items/P22RYMEK","http://zotero.org/users/14566843/items/P22RYMEK"],"itemData":{"id":215,"type":"book","collection-title":"Grundlagentexte Soziale Berufe","edition":"2., vollständig überarbeitete und erweiterte Auflage","event-place":"Weinheim Basel","ISBN":"978-3-7799-4470-6","language":"ger","number-of-pages":"479","publisher":"Beltz Juventa","publisher-place":"Weinheim Basel","source":"K10plus ISBN","title":"Sozialarbeit und Religion: Herausforderungen und Antworten","title-short":"Sozialarbeit und Religion","editor":[{"family":"Lutz","given":"Ronald"},{"family":"Kiesel","given":"Doron"}],"issued":{"date-parts":[["2022"]]}}}],"schema":"https://github.com/citation-style-language/schema/raw/master/csl-citation.json"} </w:instrText>
      </w:r>
      <w:r w:rsidRPr="00C77966">
        <w:rPr>
          <w:rFonts w:ascii="Calibri" w:eastAsiaTheme="minorHAnsi" w:hAnsi="Calibri" w:cs="Calibri"/>
          <w:color w:val="000000"/>
          <w:sz w:val="22"/>
          <w:szCs w:val="22"/>
          <w:lang w:val="de-DE"/>
          <w14:ligatures w14:val="standardContextual"/>
        </w:rPr>
        <w:fldChar w:fldCharType="separate"/>
      </w:r>
      <w:r w:rsidRPr="00C77966">
        <w:rPr>
          <w:rFonts w:ascii="Calibri" w:eastAsiaTheme="minorHAnsi" w:hAnsi="Calibri" w:cs="Calibri"/>
          <w:noProof/>
          <w:color w:val="000000"/>
          <w:sz w:val="22"/>
          <w:szCs w:val="22"/>
          <w:lang w:val="de-DE"/>
          <w14:ligatures w14:val="standardContextual"/>
        </w:rPr>
        <w:t>(Lutz und Kiesel 2022, 242;</w:t>
      </w:r>
      <w:r w:rsidRPr="00C77966">
        <w:rPr>
          <w:rFonts w:ascii="Calibri" w:eastAsiaTheme="minorHAnsi" w:hAnsi="Calibri" w:cs="Calibri"/>
          <w:color w:val="000000"/>
          <w:sz w:val="22"/>
          <w:szCs w:val="22"/>
          <w:lang w:val="de-DE"/>
          <w14:ligatures w14:val="standardContextual"/>
        </w:rPr>
        <w:fldChar w:fldCharType="end"/>
      </w:r>
      <w:r w:rsidRPr="00C77966">
        <w:rPr>
          <w:rFonts w:ascii="Calibri" w:eastAsiaTheme="minorHAnsi" w:hAnsi="Calibri" w:cs="Calibri"/>
          <w:color w:val="000000"/>
          <w:sz w:val="22"/>
          <w:szCs w:val="22"/>
          <w:lang w:val="de-DE"/>
          <w14:ligatures w14:val="standardContextual"/>
        </w:rPr>
        <w:t xml:space="preserve"> </w:t>
      </w:r>
      <w:r w:rsidRPr="00C77966">
        <w:rPr>
          <w:rFonts w:ascii="Calibri" w:eastAsiaTheme="minorHAnsi" w:hAnsi="Calibri" w:cs="Calibri"/>
          <w:color w:val="000000"/>
          <w:sz w:val="22"/>
          <w:szCs w:val="22"/>
          <w:lang w:val="de-DE"/>
          <w14:ligatures w14:val="standardContextual"/>
        </w:rPr>
        <w:fldChar w:fldCharType="begin"/>
      </w:r>
      <w:r w:rsidRPr="00C77966">
        <w:rPr>
          <w:rFonts w:ascii="Calibri" w:eastAsiaTheme="minorHAnsi" w:hAnsi="Calibri" w:cs="Calibri"/>
          <w:color w:val="000000"/>
          <w:sz w:val="22"/>
          <w:szCs w:val="22"/>
          <w:lang w:val="de-DE"/>
          <w14:ligatures w14:val="standardContextual"/>
        </w:rPr>
        <w:instrText xml:space="preserve"> ADDIN ZOTERO_ITEM CSL_CITATION {"citationID":"a9189fim09","properties":{"formattedCitation":"\\uldash{(Marty u.\\uc0\\u160{}a. 1995)}","plainCitation":"(Marty u. a. 1995)","dontUpdate":true,"noteIndex":0},"citationItems":[{"id":77,"uris":["http://zotero.org/users/14566843/items/77H6ZEM5"],"itemData":{"id":77,"type":"book","call-number":"201.709 04","collection-number":"5","collection-title":"The fundamentalism project","event-place":"Chicago","ISBN":"978-0-226-50887-0","language":"eng","publisher":"University of Chicago Press","publisher-place":"Chicago","source":"BnF ISBN","title":"Fundamentalisms comprehended","author":[{"family":"Marty","given":"Martin E."},{"family":"Appleby","given":"R. Scott"},{"family":"Sivan","given":"Emmanuel"}],"contributor":[{"literal":"American academy of arts and sciences"}],"issued":{"date-parts":[["1995"]]}}}],"schema":"https://github.com/citation-style-language/schema/raw/master/csl-citation.json"} </w:instrText>
      </w:r>
      <w:r w:rsidRPr="00C77966">
        <w:rPr>
          <w:rFonts w:ascii="Calibri" w:eastAsiaTheme="minorHAnsi" w:hAnsi="Calibri" w:cs="Calibri"/>
          <w:color w:val="000000"/>
          <w:sz w:val="22"/>
          <w:szCs w:val="22"/>
          <w:lang w:val="de-DE"/>
          <w14:ligatures w14:val="standardContextual"/>
        </w:rPr>
        <w:fldChar w:fldCharType="separate"/>
      </w:r>
      <w:r w:rsidRPr="00C77966">
        <w:rPr>
          <w:rFonts w:ascii="Calibri" w:hAnsi="Calibri" w:cs="Calibri"/>
          <w:sz w:val="22"/>
          <w:szCs w:val="22"/>
          <w:lang w:val="de-DE"/>
        </w:rPr>
        <w:t xml:space="preserve">Almond, </w:t>
      </w:r>
      <w:r w:rsidRPr="00C77966">
        <w:rPr>
          <w:rFonts w:ascii="Calibri" w:hAnsi="Calibri" w:cs="Calibri"/>
          <w:color w:val="000000"/>
          <w:sz w:val="22"/>
          <w:szCs w:val="22"/>
          <w:lang w:val="de-DE"/>
        </w:rPr>
        <w:t>Sivan und Appleby</w:t>
      </w:r>
      <w:r w:rsidRPr="00C77966">
        <w:rPr>
          <w:rFonts w:ascii="Calibri" w:hAnsi="Calibri" w:cs="Calibri"/>
          <w:sz w:val="22"/>
          <w:szCs w:val="22"/>
          <w:lang w:val="de-DE"/>
        </w:rPr>
        <w:t xml:space="preserve"> 1995, 407)</w:t>
      </w:r>
      <w:r w:rsidRPr="00C77966">
        <w:rPr>
          <w:rFonts w:ascii="Calibri" w:eastAsiaTheme="minorHAnsi" w:hAnsi="Calibri" w:cs="Calibri"/>
          <w:color w:val="000000"/>
          <w:sz w:val="22"/>
          <w:szCs w:val="22"/>
          <w:lang w:val="de-DE"/>
          <w14:ligatures w14:val="standardContextual"/>
        </w:rPr>
        <w:fldChar w:fldCharType="end"/>
      </w:r>
      <w:r w:rsidRPr="00C77966">
        <w:rPr>
          <w:rFonts w:ascii="Calibri" w:hAnsi="Calibri" w:cs="Calibri"/>
          <w:color w:val="000000"/>
          <w:sz w:val="22"/>
          <w:szCs w:val="22"/>
          <w:lang w:val="de-DE"/>
        </w:rPr>
        <w:t xml:space="preserve">, die von einem bevorstehenden finalen Kampf zwischen </w:t>
      </w:r>
      <w:r w:rsidRPr="00C77966">
        <w:rPr>
          <w:rFonts w:ascii="Calibri" w:hAnsi="Calibri" w:cs="Calibri"/>
          <w:i/>
          <w:iCs/>
          <w:color w:val="000000"/>
          <w:sz w:val="22"/>
          <w:szCs w:val="22"/>
          <w:lang w:val="de-DE"/>
        </w:rPr>
        <w:t>Gut</w:t>
      </w:r>
      <w:r w:rsidRPr="00C77966">
        <w:rPr>
          <w:rFonts w:ascii="Calibri" w:hAnsi="Calibri" w:cs="Calibri"/>
          <w:color w:val="000000"/>
          <w:sz w:val="22"/>
          <w:szCs w:val="22"/>
          <w:lang w:val="de-DE"/>
        </w:rPr>
        <w:t xml:space="preserve"> und </w:t>
      </w:r>
      <w:r w:rsidRPr="00C77966">
        <w:rPr>
          <w:rFonts w:ascii="Calibri" w:hAnsi="Calibri" w:cs="Calibri"/>
          <w:i/>
          <w:iCs/>
          <w:color w:val="000000"/>
          <w:sz w:val="22"/>
          <w:szCs w:val="22"/>
          <w:lang w:val="de-DE"/>
        </w:rPr>
        <w:t>Böse</w:t>
      </w:r>
      <w:r w:rsidRPr="00C77966">
        <w:rPr>
          <w:rFonts w:ascii="Calibri" w:hAnsi="Calibri" w:cs="Calibri"/>
          <w:color w:val="000000"/>
          <w:sz w:val="22"/>
          <w:szCs w:val="22"/>
          <w:lang w:val="de-DE"/>
        </w:rPr>
        <w:t xml:space="preserve"> ausgeht, wobei letzteres meist in Form eines personifizierten Gegenspielers (etwa Satan)  erscheint. </w:t>
      </w:r>
      <w:r w:rsidRPr="00C77966">
        <w:rPr>
          <w:rFonts w:ascii="Calibri" w:eastAsiaTheme="minorHAnsi" w:hAnsi="Calibri" w:cs="Calibri"/>
          <w:color w:val="000000"/>
          <w:sz w:val="22"/>
          <w:szCs w:val="22"/>
          <w:lang w:val="de-DE"/>
          <w14:ligatures w14:val="standardContextual"/>
        </w:rPr>
        <w:t>Die Gegenwart wird dabei als Endzeit interpretiert, in der sich die Gläubigen als auserwählte Gemeinschaft positionieren und sich auf das bevorstehende göttliche Gericht vorbereitet sollen.</w:t>
      </w:r>
    </w:p>
    <w:p w14:paraId="55228CCA" w14:textId="77777777" w:rsidR="00A768F4" w:rsidRDefault="00A768F4" w:rsidP="00A768F4">
      <w:pPr>
        <w:rPr>
          <w:rFonts w:ascii="Calibri" w:hAnsi="Calibri" w:cs="Calibri"/>
          <w:color w:val="000000"/>
          <w14:ligatures w14:val="standardContextual"/>
        </w:rPr>
      </w:pPr>
      <w:r>
        <w:rPr>
          <w:rFonts w:ascii="Calibri" w:hAnsi="Calibri" w:cs="Calibri"/>
          <w:color w:val="000000"/>
          <w14:ligatures w14:val="standardContextual"/>
        </w:rPr>
        <w:br w:type="page"/>
      </w:r>
    </w:p>
    <w:p w14:paraId="29800364" w14:textId="77777777" w:rsidR="00A768F4" w:rsidRPr="004F2C94" w:rsidRDefault="00A768F4" w:rsidP="0000208E">
      <w:pPr>
        <w:pStyle w:val="berschrift2"/>
        <w:numPr>
          <w:ilvl w:val="0"/>
          <w:numId w:val="0"/>
        </w:numPr>
        <w:spacing w:after="160"/>
        <w:ind w:left="576" w:hanging="576"/>
        <w:rPr>
          <w:rFonts w:asciiTheme="minorHAnsi" w:hAnsiTheme="minorHAnsi" w:cstheme="minorHAnsi"/>
          <w:sz w:val="26"/>
          <w:szCs w:val="26"/>
        </w:rPr>
      </w:pPr>
      <w:bookmarkStart w:id="78" w:name="_Toc215819935"/>
      <w:r w:rsidRPr="004F2C94">
        <w:rPr>
          <w:rFonts w:asciiTheme="minorHAnsi" w:hAnsiTheme="minorHAnsi" w:cstheme="minorHAnsi"/>
          <w:color w:val="016D72"/>
          <w:sz w:val="26"/>
          <w:szCs w:val="26"/>
        </w:rPr>
        <w:lastRenderedPageBreak/>
        <w:t xml:space="preserve">2.2. </w:t>
      </w:r>
      <w:proofErr w:type="gramStart"/>
      <w:r w:rsidRPr="004F2C94">
        <w:rPr>
          <w:rFonts w:asciiTheme="minorHAnsi" w:hAnsiTheme="minorHAnsi" w:cstheme="minorHAnsi"/>
          <w:color w:val="016D72"/>
          <w:sz w:val="26"/>
          <w:szCs w:val="26"/>
        </w:rPr>
        <w:t>Evangelikal</w:t>
      </w:r>
      <w:proofErr w:type="gramEnd"/>
      <w:r w:rsidRPr="004F2C94">
        <w:rPr>
          <w:rFonts w:asciiTheme="minorHAnsi" w:hAnsiTheme="minorHAnsi" w:cstheme="minorHAnsi"/>
          <w:color w:val="016D72"/>
          <w:sz w:val="26"/>
          <w:szCs w:val="26"/>
        </w:rPr>
        <w:t xml:space="preserve"> oder fundamentalistisch?</w:t>
      </w:r>
      <w:bookmarkEnd w:id="78"/>
    </w:p>
    <w:p w14:paraId="2F0EDD49" w14:textId="77777777" w:rsidR="00A768F4" w:rsidRPr="00496E39" w:rsidRDefault="00A768F4" w:rsidP="00A768F4">
      <w:pPr>
        <w:spacing w:line="276" w:lineRule="auto"/>
        <w:jc w:val="both"/>
        <w:rPr>
          <w:rFonts w:cs="Calibri"/>
        </w:rPr>
      </w:pPr>
      <w:r w:rsidRPr="00496E39">
        <w:rPr>
          <w:rFonts w:cs="Calibri"/>
        </w:rPr>
        <w:t xml:space="preserve">Im Rahmen des Forschungsfeldes und insbesondere im Hinblick auf die Fragestellung des Beitrags erweist sich die Auseinandersetzung mit den Begriffen evangelikal und fundamentalistisch als wesentlich. Beide Begriffe werden im deutschsprachigen Diskurs häufig synonym verwendet. Die Schnittstellen zwischen evangelikalen und fundamentalistischen Gruppen sind dabei jedoch kaum trennscharf definierbar </w:t>
      </w:r>
      <w:r w:rsidRPr="00496E39">
        <w:rPr>
          <w:rFonts w:cs="Calibri"/>
        </w:rPr>
        <w:fldChar w:fldCharType="begin"/>
      </w:r>
      <w:r w:rsidRPr="00496E39">
        <w:rPr>
          <w:rFonts w:cs="Calibri"/>
        </w:rPr>
        <w:instrText xml:space="preserve"> ADDIN ZOTERO_ITEM CSL_CITATION {"citationID":"a863jbthj5","properties":{"formattedCitation":"\\uldash{(Guske 2014)}","plainCitation":"(Guske 2014)","dontUpdate":true,"noteIndex":0},"citationItems":[{"id":269,"uris":["http://zotero.org/users/14566843/items/MT4W4SQ8"],"itemData":{"id":269,"type":"book","abstract":"Politisch einflussreiche Evangelikale werden insbesondere in den USA verortet. Doch auch deutsche Evangelikale üben einen nicht zu unterschätzenden politischen Einfluss aus. Katja Guske analysiert detailliert politische Einstellungen, Aktivitäten und Handlungsstrategien der deutschen Evangelikalen. Die bisher in den Politikwissenschaften vernachlässigte Erforschung dieser wichtigen religiösen Gruppierung setzt sie ins Verhältnis zu den amerikanischen Evangelikalen und erweitert sie um eine religionskulturell vergleichende Perspektive. Die Autorin beantwortet auf der Basis zahlreicher Interviews mit deutschen Evangelikalen die Frage, ob es sich um eine fundamentalistische Bewegung handelt oder ob sie als Teil der Zivilgesellschaft an den friedlichen Aushandlungsprozessen der religiös pluralistischen und politisch säkularen deutschen Gesellschaft partizipiert. Der Inhalt Entwicklung und Ambivalenz der Säkularisierung Auswirkungen der Säkularisierung auf das Staat-Kirche-Verhältnis Die deutsche evangelikale Bewegung Deutsche Evangelikale und Politik Konfliktpunkte im Agieren der evangelikalen Bewegung Die Zielgruppen Dozierende und Studierende der Politik- und Religionswissenschaften Personen der politischen und religiösen Öffentlichkeit Die Autorin Katja Guske ist Sozialwissenschaftlerin an der Humboldt-Universität zu Berlin und Projektkoordinatorin des von der Haniel Stiftung geförderten interdisziplinären Forschungsbereichs „Program on Religion, Politics and Economics“","collection-title":"SpringerLink Bücher","event-place":"Wiesbaden","ISBN":"978-3-658-03846-5","language":"ger","note":"DOI: 10.1007/978-3-658-03847-2","number-of-pages":"247","publisher":"Springer VS","publisher-place":"Wiesbaden","source":"K10plus ISBN","title":"Zwischen Bibel und Grundgesetz: Die Religionspolitik der Evangelikalen in Deutschland","title-short":"Zwischen Bibel und Grundgesetz","author":[{"family":"Guske","given":"Katja"}],"issued":{"date-parts":[["2014"]]}}}],"schema":"https://github.com/citation-style-language/schema/raw/master/csl-citation.json"} </w:instrText>
      </w:r>
      <w:r w:rsidRPr="00496E39">
        <w:rPr>
          <w:rFonts w:cs="Calibri"/>
        </w:rPr>
        <w:fldChar w:fldCharType="separate"/>
      </w:r>
      <w:r w:rsidRPr="00496E39">
        <w:rPr>
          <w:rFonts w:cs="Calibri"/>
        </w:rPr>
        <w:t>(Guske 2014, 84)</w:t>
      </w:r>
      <w:r w:rsidRPr="00496E39">
        <w:rPr>
          <w:rFonts w:cs="Calibri"/>
        </w:rPr>
        <w:fldChar w:fldCharType="end"/>
      </w:r>
      <w:r w:rsidRPr="00496E39">
        <w:rPr>
          <w:rFonts w:cs="Calibri"/>
        </w:rPr>
        <w:t xml:space="preserve"> und die Übergänge zwischen formaler Mitgliedschaft, lockerer Anhänger:innenschaft und informeller Zugehörigkeit sind häufig fließend und lassen sich nur schwer quantifizieren. Wie im folgenden Kapitel anhand konkreter Beispiele christlich-fundamentalistischer Strömungen in der deutschen Landschaft näher ausgeführt, stellt diese fehlende institutionelle Klarheit ein zentrales Problem für die empirische Erfassung der Bewegungen dar. Die begriffliche und inhaltliche Komplexität bringt auch Michael Hochgeschwender prägnant auf den Punkt: </w:t>
      </w:r>
    </w:p>
    <w:p w14:paraId="684BF7B5" w14:textId="77777777" w:rsidR="00A768F4" w:rsidRPr="00496E39" w:rsidRDefault="00A768F4" w:rsidP="00A768F4">
      <w:pPr>
        <w:tabs>
          <w:tab w:val="left" w:pos="6203"/>
        </w:tabs>
        <w:spacing w:line="276" w:lineRule="auto"/>
        <w:ind w:left="720"/>
        <w:jc w:val="both"/>
        <w:rPr>
          <w:rFonts w:cs="Calibri"/>
        </w:rPr>
      </w:pPr>
      <w:r w:rsidRPr="00496E39">
        <w:rPr>
          <w:rFonts w:cs="Calibri"/>
        </w:rPr>
        <w:t>„[es macht] Sinn, definitorisch darauf zu beharren, dass der protestantische Fundamentalismus eine besonders radikale Form des Evangelikalismus darstellt. Alle Wortfundamentalisten sind evangelikal, aber nicht alle Evangelikalen sind fundamentalistisch.“ </w:t>
      </w:r>
      <w:r w:rsidRPr="00496E39">
        <w:rPr>
          <w:rFonts w:cs="Calibri"/>
        </w:rPr>
        <w:fldChar w:fldCharType="begin"/>
      </w:r>
      <w:r w:rsidRPr="00496E39">
        <w:rPr>
          <w:rFonts w:cs="Calibri"/>
        </w:rPr>
        <w:instrText xml:space="preserve"> ADDIN ZOTERO_ITEM CSL_CITATION {"citationID":"a2fuqdsqotj","properties":{"formattedCitation":"\\uldash{(Hochgeschwender 2017)}","plainCitation":"(Hochgeschwender 2017)","dontUpdate":true,"noteIndex":0},"citationItems":[{"id":384,"uris":["http://zotero.org/users/14566843/items/ZBGKECJ4"],"itemData":{"id":384,"type":"chapter","container-title":"Handbuch Evangelikalismus","page":"21-31","publisher":"Transcript","title":"Evangelikalismus: Begriffsbestimmung und phänomenale Abgrenzung","author":[{"family":"Hochgeschwender","given":"Michael"}],"editor":[{"family":"Elwert","given":"Frederik"},{"family":"Radermacher","given":"Martin"},{"family":"Schlamelcher","given":"Jens"}],"issued":{"date-parts":[["2017"]]}}}],"schema":"https://github.com/citation-style-language/schema/raw/master/csl-citation.json"} </w:instrText>
      </w:r>
      <w:r w:rsidRPr="00496E39">
        <w:rPr>
          <w:rFonts w:cs="Calibri"/>
        </w:rPr>
        <w:fldChar w:fldCharType="separate"/>
      </w:r>
      <w:r w:rsidRPr="00496E39">
        <w:rPr>
          <w:rFonts w:cs="Calibri"/>
        </w:rPr>
        <w:t>(Hochgeschwender 2017, 29)</w:t>
      </w:r>
      <w:r w:rsidRPr="00496E39">
        <w:rPr>
          <w:rFonts w:cs="Calibri"/>
        </w:rPr>
        <w:fldChar w:fldCharType="end"/>
      </w:r>
      <w:r w:rsidRPr="00496E39">
        <w:rPr>
          <w:rFonts w:cs="Calibri"/>
        </w:rPr>
        <w:t xml:space="preserve">. </w:t>
      </w:r>
    </w:p>
    <w:p w14:paraId="456AD1D1" w14:textId="77777777" w:rsidR="00A768F4" w:rsidRPr="00496E39" w:rsidRDefault="00A768F4" w:rsidP="00A768F4">
      <w:pPr>
        <w:tabs>
          <w:tab w:val="left" w:pos="6203"/>
        </w:tabs>
        <w:spacing w:line="276" w:lineRule="auto"/>
        <w:jc w:val="both"/>
        <w:rPr>
          <w:rFonts w:cs="Calibri"/>
        </w:rPr>
      </w:pPr>
      <w:r w:rsidRPr="00496E39">
        <w:rPr>
          <w:rFonts w:cs="Calibri"/>
        </w:rPr>
        <w:t xml:space="preserve">Darüber hinaus stellt der christliche Fundamentalismus eine besonders handlungsorientierte, nach außen gerichtete Form des Evangelikalismus dar, </w:t>
      </w:r>
      <w:r>
        <w:rPr>
          <w:rFonts w:cs="Calibri"/>
        </w:rPr>
        <w:t>die</w:t>
      </w:r>
      <w:r w:rsidRPr="00496E39">
        <w:rPr>
          <w:rFonts w:cs="Calibri"/>
        </w:rPr>
        <w:t xml:space="preserve"> stärker auf (gesellschaftliche) Einflussnahme abzielt als gemäßigtere evangelikale Gruppen </w:t>
      </w:r>
      <w:r w:rsidRPr="00496E39">
        <w:rPr>
          <w:rFonts w:cs="Calibri"/>
        </w:rPr>
        <w:fldChar w:fldCharType="begin"/>
      </w:r>
      <w:r w:rsidRPr="00496E39">
        <w:rPr>
          <w:rFonts w:cs="Calibri"/>
        </w:rPr>
        <w:instrText xml:space="preserve"> ADDIN ZOTERO_ITEM CSL_CITATION {"citationID":"a2p2obb6l53","properties":{"formattedCitation":"\\uldash{(Hochgeschwender 2017)}","plainCitation":"(Hochgeschwender 2017)","dontUpdate":true,"noteIndex":0},"citationItems":[{"id":384,"uris":["http://zotero.org/users/14566843/items/ZBGKECJ4"],"itemData":{"id":384,"type":"chapter","container-title":"Handbuch Evangelikalismus","page":"21-31","publisher":"Transcript","title":"Evangelikalismus: Begriffsbestimmung und phänomenale Abgrenzung","author":[{"family":"Hochgeschwender","given":"Michael"}],"editor":[{"family":"Elwert","given":"Frederik"},{"family":"Radermacher","given":"Martin"},{"family":"Schlamelcher","given":"Jens"}],"issued":{"date-parts":[["2017"]]}}}],"schema":"https://github.com/citation-style-language/schema/raw/master/csl-citation.json"} </w:instrText>
      </w:r>
      <w:r w:rsidRPr="00496E39">
        <w:rPr>
          <w:rFonts w:cs="Calibri"/>
        </w:rPr>
        <w:fldChar w:fldCharType="separate"/>
      </w:r>
      <w:r w:rsidRPr="00496E39">
        <w:rPr>
          <w:rFonts w:cs="Calibri"/>
        </w:rPr>
        <w:t>(Hochgeschwender 2017, 30)</w:t>
      </w:r>
      <w:r w:rsidRPr="00496E39">
        <w:rPr>
          <w:rFonts w:cs="Calibri"/>
        </w:rPr>
        <w:fldChar w:fldCharType="end"/>
      </w:r>
      <w:r w:rsidRPr="00496E39">
        <w:rPr>
          <w:rFonts w:cs="Calibri"/>
        </w:rPr>
        <w:t>. In diesem Sinne werden evangelikale Strömungen in diesem Beitrag dann aufgegriffen, wenn eine deutliche Überschneidung mit den zuvor ausgearbeiteten Charakteristika fundamentalistischer Bewegungen vorliegt. Die Möglichkeit der damit einhergehenden begrifflichen Unschärfe, besonders durch die zunehmende Politisierung des Begriffs, sowie die Schwierigkeit einer klaren Abgrenzung bleiben dabei vorhanden und beachtet.</w:t>
      </w:r>
    </w:p>
    <w:p w14:paraId="2E000A74" w14:textId="77777777" w:rsidR="00A768F4" w:rsidRPr="004F2C94" w:rsidRDefault="00A768F4" w:rsidP="00F41819">
      <w:pPr>
        <w:pStyle w:val="berschrift1"/>
        <w:numPr>
          <w:ilvl w:val="0"/>
          <w:numId w:val="0"/>
        </w:numPr>
        <w:spacing w:before="240" w:after="160"/>
        <w:ind w:left="431" w:hanging="431"/>
        <w:rPr>
          <w:rFonts w:asciiTheme="minorHAnsi" w:hAnsiTheme="minorHAnsi" w:cstheme="minorHAnsi"/>
          <w:color w:val="016D72"/>
          <w:sz w:val="32"/>
          <w:szCs w:val="32"/>
        </w:rPr>
      </w:pPr>
      <w:bookmarkStart w:id="79" w:name="_Toc215819936"/>
      <w:r w:rsidRPr="004F2C94">
        <w:rPr>
          <w:rFonts w:asciiTheme="minorHAnsi" w:hAnsiTheme="minorHAnsi" w:cstheme="minorHAnsi"/>
          <w:color w:val="016D72"/>
          <w:sz w:val="32"/>
          <w:szCs w:val="32"/>
        </w:rPr>
        <w:t>3. Analytischer Vergleichsrahmen</w:t>
      </w:r>
      <w:bookmarkEnd w:id="79"/>
    </w:p>
    <w:p w14:paraId="529DE193" w14:textId="77777777" w:rsidR="00A768F4" w:rsidRDefault="00A768F4" w:rsidP="00A768F4">
      <w:pPr>
        <w:tabs>
          <w:tab w:val="left" w:pos="6203"/>
        </w:tabs>
        <w:spacing w:line="276" w:lineRule="auto"/>
        <w:jc w:val="both"/>
        <w:rPr>
          <w:rFonts w:cs="Calibri"/>
        </w:rPr>
      </w:pPr>
      <w:r w:rsidRPr="007C1C73">
        <w:rPr>
          <w:rFonts w:cs="Calibri"/>
        </w:rPr>
        <w:t xml:space="preserve">Um die Ausprägungen christlich-fundamentalistischer Bewegungen und deren Implikationen für Gesellschaft und Bildung systematisch erfassen zu können, wird zunächst die Situation in den </w:t>
      </w:r>
      <w:r>
        <w:rPr>
          <w:rFonts w:cs="Calibri"/>
        </w:rPr>
        <w:t>USA</w:t>
      </w:r>
      <w:r w:rsidRPr="007C1C73">
        <w:rPr>
          <w:rFonts w:cs="Calibri"/>
        </w:rPr>
        <w:t xml:space="preserve"> </w:t>
      </w:r>
      <w:r>
        <w:rPr>
          <w:rFonts w:cs="Calibri"/>
        </w:rPr>
        <w:t>untersucht</w:t>
      </w:r>
      <w:r w:rsidRPr="007C1C73">
        <w:rPr>
          <w:rFonts w:cs="Calibri"/>
        </w:rPr>
        <w:t xml:space="preserve">. Aufgrund der dort deutlich breiter dokumentierten Forschungslage dient dieser Kontext als heuristische Grundlage, um zentrale Strukturen, Dynamiken und Entwicklungsprozesse zu identifizieren. Auf dieser Basis wird anschließend die </w:t>
      </w:r>
      <w:r>
        <w:rPr>
          <w:rFonts w:cs="Calibri"/>
        </w:rPr>
        <w:t>deutsche Landschaft</w:t>
      </w:r>
      <w:r w:rsidRPr="007C1C73">
        <w:rPr>
          <w:rFonts w:cs="Calibri"/>
        </w:rPr>
        <w:t xml:space="preserve"> </w:t>
      </w:r>
      <w:r>
        <w:rPr>
          <w:rFonts w:cs="Calibri"/>
        </w:rPr>
        <w:t>analysiert</w:t>
      </w:r>
      <w:r w:rsidRPr="007C1C73">
        <w:rPr>
          <w:rFonts w:cs="Calibri"/>
        </w:rPr>
        <w:t xml:space="preserve">, um Parallelen, Unterschiede und mögliche Übertragungstendenzen sichtbar zu machen. Der transatlantische Vergleich dient nicht primär der Gegenüberstellung zweier nationaler Kontexte. </w:t>
      </w:r>
      <w:r w:rsidRPr="00203130">
        <w:rPr>
          <w:rFonts w:cs="Calibri"/>
        </w:rPr>
        <w:t>Vielmehr soll er angesichts der in Deutschland sowohl qualitativ als auch quantitativ unzureichend erforschten</w:t>
      </w:r>
      <w:r>
        <w:rPr>
          <w:rFonts w:cs="Calibri"/>
        </w:rPr>
        <w:t xml:space="preserve"> </w:t>
      </w:r>
      <w:r w:rsidRPr="00203130">
        <w:rPr>
          <w:rFonts w:cs="Calibri"/>
        </w:rPr>
        <w:t>und insbesondere im gesellschaftlichen sowie</w:t>
      </w:r>
      <w:r>
        <w:rPr>
          <w:rFonts w:cs="Calibri"/>
        </w:rPr>
        <w:t xml:space="preserve"> im </w:t>
      </w:r>
      <w:r w:rsidRPr="002B0D1E">
        <w:rPr>
          <w:rFonts w:cs="Calibri"/>
        </w:rPr>
        <w:t>Bildungskontext lückenhaften Forschungslage eine Grundlage schaffen, um mögliche</w:t>
      </w:r>
      <w:r>
        <w:rPr>
          <w:rFonts w:cs="Calibri"/>
        </w:rPr>
        <w:t xml:space="preserve"> </w:t>
      </w:r>
      <w:r w:rsidRPr="00203130">
        <w:rPr>
          <w:rFonts w:cs="Calibri"/>
        </w:rPr>
        <w:t xml:space="preserve">Entwicklungsdynamiken zu identifizieren und pädagogische Herausforderungen frühzeitig sichtbar zu </w:t>
      </w:r>
      <w:r w:rsidRPr="00496E39">
        <w:rPr>
          <w:rFonts w:cs="Calibri"/>
        </w:rPr>
        <w:t xml:space="preserve">machen. Der verwendete Analyserahmen orientiert sich an drei Dimensionen (vgl. auch Nora </w:t>
      </w:r>
      <w:r w:rsidRPr="00496E39">
        <w:rPr>
          <w:rFonts w:cs="Calibri"/>
        </w:rPr>
        <w:fldChar w:fldCharType="begin"/>
      </w:r>
      <w:r w:rsidRPr="00496E39">
        <w:rPr>
          <w:rFonts w:cs="Calibri"/>
        </w:rPr>
        <w:instrText xml:space="preserve"> ADDIN ZOTERO_ITEM CSL_CITATION {"citationID":"a1m0grsd68i","properties":{"formattedCitation":"\\uldash{(Kindermann 2025)}","plainCitation":"(Kindermann 2025)","dontUpdate":true,"noteIndex":0},"citationItems":[{"id":398,"uris":["http://zotero.org/users/14566843/items/EXFYHRAR"],"itemData":{"id":398,"type":"thesis","abstract":"FUNDAMENTALISM is a contested concept within the social sciences and humanities. Its intension and extension are debated, as is the question of its usefulness for research in these fields. Researchers need to assess whether this concept assists them in making substantive and informative claims about the social world, how to accumulate findings, and how to enhance coherence in fundamentalism research. This dissertation explores how we can assess the usefulness of the contested concept of FUNDAMENTALISM for social science and humanities research. I argue that there is no singular or straightforward method to determine whether and in what form the concept of FUNDAMENTALISM is useful for social science and humanities research. To further the ongoing debate, scholars should clarify their reasons for deeming certain conceptualizations of fundamentalism useful by bringing the concept’s intension, its extension, and normative ideas about the usefulness of concepts into reflective equilibrium. During this process, they should clarify the intended extension and articulate the concept’s intension as clearly as possible. Importantly, they should be transparent about what makes concepts useful in social science and humanities research. By analyzing current and past uses of the concept, along with its criticisms, I discuss four challenges that must be addressed to advance the ongoing debates about the concept’s usefulness: the historicity of the concept, the challenge of specificity, the difficulty in determining the usefulness of concepts, and the risk of biases. To make informed choices, it is crucial to understand the historical development of the concept, possess tools to disambiguate and compare various conceptualizations, be transparent about the values the concept should realize to be useful, and reflect on the risk of bias. In addressing these challenges, I gather guidelines and develop tools to engage with them. These lessons and tools can assist scholars in making informed, transparent decisions regarding their conceptualizations.","genre":"PhD","language":"en","note":"page: HFNKN25420251001\nDOI: 10.5463/thesis.1263","publisher":"Vrije Universiteit Amsterdam","source":"DOI.org (Crossref)","title":"FUNDAMENTALISM - The Usefulness of a Contested Concept","URL":"https://hdl.handle.net/1871.1/c3963f7a-0a58-4b72-b026-3f27e03ab558","author":[{"family":"Kindermann","given":"Nora Noemi"}],"accessed":{"date-parts":[["2025",11,13]]},"issued":{"date-parts":[["2025",9,10]]}}}],"schema":"https://github.com/citation-style-language/schema/raw/master/csl-citation.json"} </w:instrText>
      </w:r>
      <w:r w:rsidRPr="00496E39">
        <w:rPr>
          <w:rFonts w:cs="Calibri"/>
        </w:rPr>
        <w:fldChar w:fldCharType="separate"/>
      </w:r>
      <w:r w:rsidRPr="00496E39">
        <w:rPr>
          <w:rFonts w:cs="Calibri"/>
        </w:rPr>
        <w:t>Kindermann (2025, 48-51), die in ihrer Dissertation ähnliche Kategorien heranzieht)</w:t>
      </w:r>
      <w:r w:rsidRPr="00496E39">
        <w:rPr>
          <w:rFonts w:cs="Calibri"/>
        </w:rPr>
        <w:fldChar w:fldCharType="end"/>
      </w:r>
      <w:r w:rsidRPr="00496E39">
        <w:rPr>
          <w:rFonts w:cs="Calibri"/>
        </w:rPr>
        <w:t>, die zugleich zentrale Aspekte gängiger Fundamentalismusdefinitionen widerspiegeln und als Leitkategorien  der weiteren Analyse dienen:</w:t>
      </w:r>
    </w:p>
    <w:p w14:paraId="0DE3B1A7" w14:textId="77777777" w:rsidR="00A768F4" w:rsidRPr="007C1C73" w:rsidRDefault="00A768F4" w:rsidP="00A768F4">
      <w:pPr>
        <w:tabs>
          <w:tab w:val="left" w:pos="6203"/>
        </w:tabs>
        <w:spacing w:line="276" w:lineRule="auto"/>
        <w:jc w:val="both"/>
        <w:rPr>
          <w:rFonts w:cs="Calibri"/>
        </w:rPr>
      </w:pPr>
      <w:r w:rsidRPr="007C1C73">
        <w:rPr>
          <w:rFonts w:cs="Calibri"/>
        </w:rPr>
        <w:t xml:space="preserve">(1) eine </w:t>
      </w:r>
      <w:r w:rsidRPr="00AA187E">
        <w:rPr>
          <w:rFonts w:cs="Calibri"/>
          <w:u w:val="single"/>
        </w:rPr>
        <w:t>historisch-theologische Dimension</w:t>
      </w:r>
      <w:r w:rsidRPr="007C1C73">
        <w:rPr>
          <w:rFonts w:cs="Calibri"/>
        </w:rPr>
        <w:t>, die Entstehung, Entwicklung und zentrale Glaubensüberzeugungen in den Blick nimmt;</w:t>
      </w:r>
    </w:p>
    <w:p w14:paraId="732300B2" w14:textId="77777777" w:rsidR="00A768F4" w:rsidRPr="007C1C73" w:rsidRDefault="00A768F4" w:rsidP="00A768F4">
      <w:pPr>
        <w:tabs>
          <w:tab w:val="left" w:pos="6203"/>
        </w:tabs>
        <w:spacing w:line="276" w:lineRule="auto"/>
        <w:jc w:val="both"/>
        <w:rPr>
          <w:rFonts w:cs="Calibri"/>
        </w:rPr>
      </w:pPr>
      <w:r w:rsidRPr="007C1C73">
        <w:rPr>
          <w:rFonts w:cs="Calibri"/>
        </w:rPr>
        <w:lastRenderedPageBreak/>
        <w:t xml:space="preserve">(2) eine </w:t>
      </w:r>
      <w:r w:rsidRPr="00AA187E">
        <w:rPr>
          <w:rFonts w:cs="Calibri"/>
          <w:u w:val="single"/>
        </w:rPr>
        <w:t>gesellschaftlich-politische Dimension</w:t>
      </w:r>
      <w:r w:rsidRPr="007C1C73">
        <w:rPr>
          <w:rFonts w:cs="Calibri"/>
        </w:rPr>
        <w:t>, die auch mediale Strategien und Formen öffentlicher Einflussnahme berücksichtigt; sowie</w:t>
      </w:r>
      <w:r>
        <w:rPr>
          <w:rFonts w:cs="Calibri"/>
        </w:rPr>
        <w:t xml:space="preserve"> für diese Aushandlung zentral</w:t>
      </w:r>
    </w:p>
    <w:p w14:paraId="20DEB33D" w14:textId="77777777" w:rsidR="00A768F4" w:rsidRPr="007C1C73" w:rsidRDefault="00A768F4" w:rsidP="00A768F4">
      <w:pPr>
        <w:tabs>
          <w:tab w:val="left" w:pos="6203"/>
        </w:tabs>
        <w:spacing w:line="276" w:lineRule="auto"/>
        <w:jc w:val="both"/>
        <w:rPr>
          <w:rFonts w:cs="Calibri"/>
        </w:rPr>
      </w:pPr>
      <w:r w:rsidRPr="007C1C73">
        <w:rPr>
          <w:rFonts w:cs="Calibri"/>
        </w:rPr>
        <w:t xml:space="preserve">(3) eine </w:t>
      </w:r>
      <w:r w:rsidRPr="00AA187E">
        <w:rPr>
          <w:rFonts w:cs="Calibri"/>
          <w:u w:val="single"/>
        </w:rPr>
        <w:t>pädagogische Dimension</w:t>
      </w:r>
      <w:r w:rsidRPr="007C1C73">
        <w:rPr>
          <w:rFonts w:cs="Calibri"/>
        </w:rPr>
        <w:t xml:space="preserve">, die Fragen von Bildung, Erziehung und Wissenschaftsverständnis in den Mittelpunkt stellt. </w:t>
      </w:r>
    </w:p>
    <w:p w14:paraId="1A8EE755" w14:textId="77777777" w:rsidR="00A768F4" w:rsidRPr="007C1C73" w:rsidRDefault="00A768F4" w:rsidP="00A768F4">
      <w:pPr>
        <w:tabs>
          <w:tab w:val="left" w:pos="6203"/>
        </w:tabs>
        <w:spacing w:line="276" w:lineRule="auto"/>
        <w:jc w:val="both"/>
        <w:rPr>
          <w:rFonts w:cs="Calibri"/>
        </w:rPr>
      </w:pPr>
      <w:r w:rsidRPr="007C1C73">
        <w:rPr>
          <w:rFonts w:cs="Calibri"/>
        </w:rPr>
        <w:t>Die beiden ersten Dimensionen werden dabei als hinleitend zur letzten für diese</w:t>
      </w:r>
      <w:r>
        <w:rPr>
          <w:rFonts w:cs="Calibri"/>
        </w:rPr>
        <w:t xml:space="preserve">n Beitrag </w:t>
      </w:r>
      <w:r w:rsidRPr="007C1C73">
        <w:rPr>
          <w:rFonts w:cs="Calibri"/>
        </w:rPr>
        <w:t xml:space="preserve">forschungsleitenden Dimension betrachtet, </w:t>
      </w:r>
      <w:r>
        <w:rPr>
          <w:rFonts w:cs="Calibri"/>
        </w:rPr>
        <w:t>die</w:t>
      </w:r>
      <w:r w:rsidRPr="007C1C73">
        <w:rPr>
          <w:rFonts w:cs="Calibri"/>
        </w:rPr>
        <w:t xml:space="preserve"> im Anschluss </w:t>
      </w:r>
      <w:r>
        <w:rPr>
          <w:rFonts w:cs="Calibri"/>
        </w:rPr>
        <w:t>an den</w:t>
      </w:r>
      <w:r w:rsidRPr="007C1C73">
        <w:rPr>
          <w:rFonts w:cs="Calibri"/>
        </w:rPr>
        <w:t xml:space="preserve"> transatlantischen Vergleich und d</w:t>
      </w:r>
      <w:r>
        <w:rPr>
          <w:rFonts w:cs="Calibri"/>
        </w:rPr>
        <w:t>ie</w:t>
      </w:r>
      <w:r w:rsidRPr="007C1C73">
        <w:rPr>
          <w:rFonts w:cs="Calibri"/>
        </w:rPr>
        <w:t xml:space="preserve"> Situationsbeschreibung in Deutschland weiterführend vertieft wird.</w:t>
      </w:r>
    </w:p>
    <w:p w14:paraId="774D55E2" w14:textId="77777777" w:rsidR="00A768F4" w:rsidRPr="004F2C94" w:rsidRDefault="00A768F4" w:rsidP="00F41819">
      <w:pPr>
        <w:pStyle w:val="berschrift1"/>
        <w:numPr>
          <w:ilvl w:val="0"/>
          <w:numId w:val="0"/>
        </w:numPr>
        <w:spacing w:before="240" w:after="160"/>
        <w:ind w:left="431" w:hanging="431"/>
        <w:rPr>
          <w:rFonts w:asciiTheme="minorHAnsi" w:hAnsiTheme="minorHAnsi" w:cstheme="minorHAnsi"/>
          <w:color w:val="016D72"/>
          <w:sz w:val="32"/>
          <w:szCs w:val="32"/>
        </w:rPr>
      </w:pPr>
      <w:bookmarkStart w:id="80" w:name="_Toc215819937"/>
      <w:r w:rsidRPr="004F2C94">
        <w:rPr>
          <w:rFonts w:asciiTheme="minorHAnsi" w:hAnsiTheme="minorHAnsi" w:cstheme="minorHAnsi"/>
          <w:color w:val="016D72"/>
          <w:sz w:val="32"/>
          <w:szCs w:val="32"/>
        </w:rPr>
        <w:t>4. Vergleichende Perspektive USA</w:t>
      </w:r>
      <w:bookmarkEnd w:id="80"/>
    </w:p>
    <w:p w14:paraId="6CE4AD2B" w14:textId="77777777" w:rsidR="00A768F4" w:rsidRPr="004F2C94" w:rsidRDefault="00A768F4" w:rsidP="0000208E">
      <w:pPr>
        <w:pStyle w:val="berschrift2"/>
        <w:numPr>
          <w:ilvl w:val="0"/>
          <w:numId w:val="0"/>
        </w:numPr>
        <w:spacing w:after="160"/>
        <w:ind w:left="576" w:hanging="576"/>
        <w:rPr>
          <w:rFonts w:asciiTheme="minorHAnsi" w:hAnsiTheme="minorHAnsi" w:cstheme="minorHAnsi"/>
          <w:color w:val="016D72"/>
          <w:sz w:val="26"/>
          <w:szCs w:val="26"/>
        </w:rPr>
      </w:pPr>
      <w:bookmarkStart w:id="81" w:name="_Toc215819938"/>
      <w:r w:rsidRPr="004F2C94">
        <w:rPr>
          <w:rFonts w:asciiTheme="minorHAnsi" w:hAnsiTheme="minorHAnsi" w:cstheme="minorHAnsi"/>
          <w:color w:val="016D72"/>
          <w:sz w:val="26"/>
          <w:szCs w:val="26"/>
        </w:rPr>
        <w:t>4.1. Historisch-theologische Dimension</w:t>
      </w:r>
      <w:bookmarkEnd w:id="81"/>
    </w:p>
    <w:p w14:paraId="1BD44462" w14:textId="77777777" w:rsidR="00A768F4" w:rsidRPr="00F41819" w:rsidRDefault="00A768F4" w:rsidP="00A768F4">
      <w:pPr>
        <w:pStyle w:val="StandardWeb"/>
        <w:spacing w:after="160" w:afterAutospacing="0" w:line="276" w:lineRule="auto"/>
        <w:jc w:val="both"/>
        <w:rPr>
          <w:rFonts w:ascii="Calibri" w:hAnsi="Calibri" w:cs="Calibri"/>
          <w:sz w:val="22"/>
          <w:szCs w:val="22"/>
          <w:lang w:val="de-DE"/>
        </w:rPr>
      </w:pPr>
      <w:r w:rsidRPr="00F41819">
        <w:rPr>
          <w:rFonts w:ascii="Calibri" w:hAnsi="Calibri" w:cs="Calibri"/>
          <w:sz w:val="22"/>
          <w:szCs w:val="22"/>
          <w:lang w:val="de-DE"/>
        </w:rPr>
        <w:t xml:space="preserve">Besonders die Fokussierung auf die USA bietet sich an, da der moderne christliche Fundamentalismus dort zum einen den begrifflichen, wenn auch nicht existenziellen Ursprung hat </w:t>
      </w:r>
      <w:r w:rsidRPr="00F41819">
        <w:rPr>
          <w:rFonts w:ascii="Calibri" w:hAnsi="Calibri" w:cs="Calibri"/>
          <w:sz w:val="22"/>
          <w:szCs w:val="22"/>
          <w:lang w:val="de-DE"/>
        </w:rPr>
        <w:fldChar w:fldCharType="begin"/>
      </w:r>
      <w:r w:rsidRPr="00F41819">
        <w:rPr>
          <w:rFonts w:ascii="Calibri" w:hAnsi="Calibri" w:cs="Calibri"/>
          <w:sz w:val="22"/>
          <w:szCs w:val="22"/>
          <w:lang w:val="de-DE"/>
        </w:rPr>
        <w:instrText xml:space="preserve"> ADDIN ZOTERO_ITEM CSL_CITATION {"citationID":"G7H4c3DX","properties":{"formattedCitation":"(Peels 2023)","plainCitation":"(Peels 2023)","dontUpdate":true,"noteIndex":0},"citationItems":[{"id":96,"uris":["http://zotero.org/users/14566843/items/J42UVP3N"],"itemData":{"id":96,"type":"article-journal","abstract":"Abstract\n            This article combines two things: it explores how one should undertake the project of defining ‘fundamentalism’ and, based on the ensuing desiderata, it actually provides such a definition. After a few preliminary comments on ‘fundamentalism’ and the value of defining it, five goals of definitions are distinguished and elucidated: accuracy, precision, fairness, clarity, and fecundity. After that, various kinds of definitions and their interrelations are spelled out. Finally, the author provides and defends a so-called explicative definition of ‘fundamentalism’ both in terms of necessary and sufficient conditions and in terms of stereotypical properties. On the basis of empirical literature and a scoping review, it is argued that a movement is fundamentalist if and only if it is (i) reactionary towards modern developments, (ii) itself modern, and (iii) based on a grand historical narrative. More specifically, a movement is fundamentalist if it exemplifies a large number of the following properties: (i) it is reactionary in its rejection of liberal ethics, science, or technological exploitation; (ii) it is modern in seeking certainty and control, embracing literalism and infallibility about particular scriptures, actively using media and technology, or making universal claims; and (iii) it presents a grand historical narrative in terms of paradise, fall, and redemption, or cosmic dualism.","container-title":"Religious Studies","DOI":"10.1017/S0034412522000683","ISSN":"0034-4125, 1469-901X","issue":"4","journalAbbreviation":"Rel. Stud.","language":"en","page":"729-747","source":"DOI.org (Crossref)","title":"On defining ‘fundamentalism’","volume":"59","author":[{"family":"Peels","given":"Rik"}],"issued":{"date-parts":[["2023",12]]}}}],"schema":"https://github.com/citation-style-language/schema/raw/master/csl-citation.json"} </w:instrText>
      </w:r>
      <w:r w:rsidRPr="00F41819">
        <w:rPr>
          <w:rFonts w:ascii="Calibri" w:hAnsi="Calibri" w:cs="Calibri"/>
          <w:sz w:val="22"/>
          <w:szCs w:val="22"/>
          <w:lang w:val="de-DE"/>
        </w:rPr>
        <w:fldChar w:fldCharType="separate"/>
      </w:r>
      <w:r w:rsidRPr="00F41819">
        <w:rPr>
          <w:rFonts w:ascii="Calibri" w:hAnsi="Calibri" w:cs="Calibri"/>
          <w:noProof/>
          <w:sz w:val="22"/>
          <w:szCs w:val="22"/>
          <w:lang w:val="de-DE"/>
        </w:rPr>
        <w:t>(Peels 2023, 731)</w:t>
      </w:r>
      <w:r w:rsidRPr="00F41819">
        <w:rPr>
          <w:rFonts w:ascii="Calibri" w:hAnsi="Calibri" w:cs="Calibri"/>
          <w:sz w:val="22"/>
          <w:szCs w:val="22"/>
          <w:lang w:val="de-DE"/>
        </w:rPr>
        <w:fldChar w:fldCharType="end"/>
      </w:r>
      <w:r w:rsidRPr="00F41819">
        <w:rPr>
          <w:rFonts w:ascii="Calibri" w:hAnsi="Calibri" w:cs="Calibri"/>
          <w:sz w:val="22"/>
          <w:szCs w:val="22"/>
          <w:lang w:val="de-DE"/>
        </w:rPr>
        <w:t xml:space="preserve">. Denn gegen Ende des 19. Jahrhunderts bildeten sich in den USA konservativ-protestantische Strömungen, die sich als Abwehrreaktion auf gesellschaftliche und theologische Modernisierungen verstanden. Sie definierten zentrale Glaubenssätze (fundamentals), die als unumstößlich galten, darunter die wörtliche Auslegung der Bibel, die göttliche Natur Jesu, seine jungfräuliche Geburt oder seinen Tod und die leibliche Auferstehung </w:t>
      </w:r>
      <w:r w:rsidRPr="00F41819">
        <w:rPr>
          <w:rFonts w:ascii="Calibri" w:hAnsi="Calibri" w:cs="Calibri"/>
          <w:sz w:val="22"/>
          <w:szCs w:val="22"/>
          <w:lang w:val="de-DE"/>
        </w:rPr>
        <w:fldChar w:fldCharType="begin"/>
      </w:r>
      <w:r w:rsidRPr="00F41819">
        <w:rPr>
          <w:rFonts w:ascii="Calibri" w:hAnsi="Calibri" w:cs="Calibri"/>
          <w:sz w:val="22"/>
          <w:szCs w:val="22"/>
          <w:lang w:val="de-DE"/>
        </w:rPr>
        <w:instrText xml:space="preserve"> ADDIN ZOTERO_ITEM CSL_CITATION {"citationID":"pgtqGkbh","properties":{"formattedCitation":"(Peels &amp; Kindermann, 2024)","plainCitation":"(Peels &amp; Kindermann, 2024)","dontUpdate":true,"noteIndex":0},"citationItems":[{"id":104,"uris":["http://zotero.org/users/14566843/items/48JLW7H2"],"itemData":{"id":104,"type":"article-journal","container-title":"Journal of Political Ideologies","DOI":"10.1080/13569317.2022.2138294","ISSN":"1356-9317, 1469-9613","issue":"3","journalAbbreviation":"Journal of Political Ideologies","language":"en","page":"492-512","source":"DOI.org (Crossref)","title":"What are fundamentalist beliefs?","volume":"29","author":[{"family":"Peels","given":"Rik"},{"family":"Kindermann","given":"Nora"}],"issued":{"date-parts":[["2024",9]]}}}],"schema":"https://github.com/citation-style-language/schema/raw/master/csl-citation.json"} </w:instrText>
      </w:r>
      <w:r w:rsidRPr="00F41819">
        <w:rPr>
          <w:rFonts w:ascii="Calibri" w:hAnsi="Calibri" w:cs="Calibri"/>
          <w:sz w:val="22"/>
          <w:szCs w:val="22"/>
          <w:lang w:val="de-DE"/>
        </w:rPr>
        <w:fldChar w:fldCharType="separate"/>
      </w:r>
      <w:r w:rsidRPr="00F41819">
        <w:rPr>
          <w:rFonts w:ascii="Calibri" w:hAnsi="Calibri" w:cs="Calibri"/>
          <w:noProof/>
          <w:sz w:val="22"/>
          <w:szCs w:val="22"/>
          <w:lang w:val="de-DE"/>
        </w:rPr>
        <w:t>(Peels und Kindermann 2024</w:t>
      </w:r>
      <w:r w:rsidRPr="00F41819">
        <w:rPr>
          <w:rFonts w:ascii="Calibri" w:hAnsi="Calibri" w:cs="Calibri"/>
          <w:sz w:val="22"/>
          <w:szCs w:val="22"/>
          <w:lang w:val="de-DE"/>
        </w:rPr>
        <w:fldChar w:fldCharType="end"/>
      </w:r>
      <w:r w:rsidRPr="00F41819">
        <w:rPr>
          <w:rFonts w:ascii="Calibri" w:hAnsi="Calibri" w:cs="Calibri"/>
          <w:sz w:val="22"/>
          <w:szCs w:val="22"/>
          <w:lang w:val="de-DE"/>
        </w:rPr>
        <w:t>, 494-495). Zum anderen konnte er auch in Gesellschaft, Politik und Bildung über viele Dekaden hinweg prägende Wirkung entfalten. Einige der in Deutschland beobachtbaren Tendenzen, die im nächsten Kapitel genauer beleuchtet werden, wie die kritisch bis ablehnende Haltung gegenüber wissenschaftlichen Erkenntnissen oder die Politisierung religiöser Weltbilder oder Glaubenssätze, können mit Entwicklungen verglichen werden, die in den USA bereits über eine längere Zeitspanne fortgeschritten sind. Aufgrund der komplexen Entwicklungsgeschichte, der Pluralität fundamentalistischer Strömungen und ihrer tiefgreifenden gesellschaftlichen Einflüsse in den USA kann im Folgenden nur ein fokussierter Einblick in wenige ausgewählte Aspekte dieser erfolgen.</w:t>
      </w:r>
    </w:p>
    <w:p w14:paraId="39501D86" w14:textId="77777777" w:rsidR="00A768F4" w:rsidRPr="004F2C94" w:rsidRDefault="00A768F4" w:rsidP="0000208E">
      <w:pPr>
        <w:pStyle w:val="berschrift2"/>
        <w:numPr>
          <w:ilvl w:val="0"/>
          <w:numId w:val="0"/>
        </w:numPr>
        <w:spacing w:after="160"/>
        <w:ind w:left="576" w:hanging="576"/>
        <w:rPr>
          <w:rFonts w:asciiTheme="minorHAnsi" w:hAnsiTheme="minorHAnsi" w:cstheme="minorHAnsi"/>
          <w:color w:val="016D72"/>
          <w:sz w:val="26"/>
          <w:szCs w:val="26"/>
        </w:rPr>
      </w:pPr>
      <w:bookmarkStart w:id="82" w:name="_Toc215819939"/>
      <w:r w:rsidRPr="004F2C94">
        <w:rPr>
          <w:rFonts w:asciiTheme="minorHAnsi" w:hAnsiTheme="minorHAnsi" w:cstheme="minorHAnsi"/>
          <w:color w:val="016D72"/>
          <w:sz w:val="26"/>
          <w:szCs w:val="26"/>
        </w:rPr>
        <w:t>4.2. Gesellschaftlich-politische Dimension</w:t>
      </w:r>
      <w:bookmarkEnd w:id="82"/>
    </w:p>
    <w:p w14:paraId="518960D1" w14:textId="77777777" w:rsidR="00A768F4" w:rsidRDefault="00A768F4" w:rsidP="00A768F4">
      <w:pPr>
        <w:spacing w:line="276" w:lineRule="auto"/>
        <w:jc w:val="both"/>
        <w:rPr>
          <w:rFonts w:cs="Calibri"/>
        </w:rPr>
      </w:pPr>
      <w:r w:rsidRPr="007C1C73">
        <w:rPr>
          <w:rFonts w:cs="Calibri"/>
        </w:rPr>
        <w:t xml:space="preserve">Nicht erst in den letzten Jahrzehnten hat sich die fundamentalistische Bewegung weiterentwickelt, ausdifferenziert und sich an moderne Strategien und Technologien angepasst, nicht </w:t>
      </w:r>
      <w:proofErr w:type="gramStart"/>
      <w:r w:rsidRPr="007C1C73">
        <w:rPr>
          <w:rFonts w:cs="Calibri"/>
        </w:rPr>
        <w:t xml:space="preserve">ohne der </w:t>
      </w:r>
      <w:r w:rsidRPr="001011C0">
        <w:rPr>
          <w:rFonts w:cs="Calibri"/>
          <w:i/>
          <w:iCs/>
        </w:rPr>
        <w:t>Moderne</w:t>
      </w:r>
      <w:proofErr w:type="gramEnd"/>
      <w:r w:rsidRPr="007C1C73">
        <w:rPr>
          <w:rFonts w:cs="Calibri"/>
        </w:rPr>
        <w:t xml:space="preserve"> an sich abzuschwören. Dabei haben diese Bewegungen öffentliche Debatten (mit</w:t>
      </w:r>
      <w:r>
        <w:rPr>
          <w:rFonts w:cs="Calibri"/>
        </w:rPr>
        <w:t>-</w:t>
      </w:r>
      <w:r w:rsidRPr="007C1C73">
        <w:rPr>
          <w:rFonts w:cs="Calibri"/>
        </w:rPr>
        <w:t xml:space="preserve">)geprägt und das Identitätsgefühl vieler US-Amerikaner:innen mitgeformt; so ordneten sich  </w:t>
      </w:r>
      <w:r>
        <w:rPr>
          <w:rFonts w:cs="Calibri"/>
        </w:rPr>
        <w:t>c</w:t>
      </w:r>
      <w:r w:rsidRPr="007C1C73">
        <w:rPr>
          <w:rFonts w:cs="Calibri"/>
        </w:rPr>
        <w:t>a. 23</w:t>
      </w:r>
      <w:r>
        <w:rPr>
          <w:rFonts w:cs="Calibri"/>
        </w:rPr>
        <w:t xml:space="preserve"> </w:t>
      </w:r>
      <w:r w:rsidRPr="007C1C73">
        <w:rPr>
          <w:rFonts w:cs="Calibri"/>
        </w:rPr>
        <w:t>% der US</w:t>
      </w:r>
      <w:r>
        <w:rPr>
          <w:rFonts w:cs="Calibri"/>
        </w:rPr>
        <w:t>-B</w:t>
      </w:r>
      <w:r w:rsidRPr="007C1C73">
        <w:rPr>
          <w:rFonts w:cs="Calibri"/>
        </w:rPr>
        <w:t xml:space="preserve">ürger:innen in der jüngsten Vergangenheit dem evangelikalen Spektrum zu </w:t>
      </w:r>
      <w:r>
        <w:rPr>
          <w:rFonts w:cs="Calibri"/>
        </w:rPr>
        <w:fldChar w:fldCharType="begin"/>
      </w:r>
      <w:r>
        <w:rPr>
          <w:rFonts w:cs="Calibri"/>
        </w:rPr>
        <w:instrText xml:space="preserve"> ADDIN ZOTERO_ITEM CSL_CITATION {"citationID":"a26lm4ue8ok","properties":{"formattedCitation":"(Pew Research Center 2025)","plainCitation":"(Pew Research Center 2025)","noteIndex":0},"citationItems":[{"id":369,"uris":["http://zotero.org/users/14566843/items/MCFT9GEB"],"itemData":{"id":369,"type":"article","abstract":"This interactive website allows users to interact with data from Pew Research Center's 2023-24 Religious Landscape Survey. They can search for information on the religious composition of all 50 states and 34 large metro areas, and see profiles of many religious groups.","DOI":"10.58094/3ZS9-JC14","language":"en","license":"Pew Research Center License","note":"medium: text/html","publisher":"Pew Research Center","source":"DOI.org (Datacite)","title":"2023-24 U.S. Religious Landscape Study Interactive Database","URL":"https://www.pewresearch.org/religious-landscape-study/","author":[{"literal":"Pew Research Center"}],"accessed":{"date-parts":[["2025",11,8]]},"issued":{"date-parts":[["2025"]]}}}],"schema":"https://github.com/citation-style-language/schema/raw/master/csl-citation.json"} </w:instrText>
      </w:r>
      <w:r>
        <w:rPr>
          <w:rFonts w:cs="Calibri"/>
        </w:rPr>
        <w:fldChar w:fldCharType="separate"/>
      </w:r>
      <w:r w:rsidRPr="009E29D6">
        <w:rPr>
          <w:rFonts w:cs="Calibri"/>
        </w:rPr>
        <w:t>(Pew Research Center 2025)</w:t>
      </w:r>
      <w:r>
        <w:rPr>
          <w:rFonts w:cs="Calibri"/>
        </w:rPr>
        <w:fldChar w:fldCharType="end"/>
      </w:r>
      <w:r w:rsidRPr="007C1C73">
        <w:rPr>
          <w:rFonts w:cs="Calibri"/>
        </w:rPr>
        <w:t xml:space="preserve">. Indem </w:t>
      </w:r>
      <w:r w:rsidRPr="00496E39">
        <w:rPr>
          <w:rFonts w:cs="Calibri"/>
        </w:rPr>
        <w:t xml:space="preserve">christliche Fundamentalist:innen in den USA ihre Nation als genuin christliche Einheit begreifen, heben sie das </w:t>
      </w:r>
      <w:r w:rsidRPr="00383D2F">
        <w:rPr>
          <w:rFonts w:cs="Calibri"/>
          <w:i/>
          <w:iCs/>
        </w:rPr>
        <w:t>Othering</w:t>
      </w:r>
      <w:r w:rsidRPr="00496E39">
        <w:rPr>
          <w:rFonts w:cs="Calibri"/>
        </w:rPr>
        <w:t xml:space="preserve"> auf eine zusätzliche Ebene: In der Abgrenzung zu allem, was nicht weiß, evangelikal oder konservativ ist, inszenieren sie sich selbst als die </w:t>
      </w:r>
      <w:r w:rsidRPr="00496E39">
        <w:rPr>
          <w:rFonts w:cs="Calibri"/>
          <w:i/>
          <w:iCs/>
        </w:rPr>
        <w:t>wahren Amerikaner:innen</w:t>
      </w:r>
      <w:r w:rsidRPr="00496E39">
        <w:rPr>
          <w:rFonts w:cs="Calibri"/>
        </w:rPr>
        <w:t xml:space="preserve"> </w:t>
      </w:r>
      <w:r>
        <w:rPr>
          <w:rFonts w:cs="Calibri"/>
        </w:rPr>
        <w:t xml:space="preserve">und </w:t>
      </w:r>
      <w:r w:rsidRPr="00496E39">
        <w:rPr>
          <w:rFonts w:cs="Calibri"/>
        </w:rPr>
        <w:t xml:space="preserve">fühlen sich zugleich bedroht und angegriffen in ihrem Selbstverständnis </w:t>
      </w:r>
      <w:r w:rsidRPr="00496E39">
        <w:rPr>
          <w:rFonts w:cs="Calibri"/>
        </w:rPr>
        <w:fldChar w:fldCharType="begin"/>
      </w:r>
      <w:r w:rsidRPr="00496E39">
        <w:rPr>
          <w:rFonts w:cs="Calibri"/>
        </w:rPr>
        <w:instrText xml:space="preserve"> ADDIN ZOTERO_ITEM CSL_CITATION {"citationID":"UUFfuHjt","properties":{"formattedCitation":"(Nalani und Yoshikawa 2023)","plainCitation":"(Nalani und Yoshikawa 2023)","dontUpdate":true,"noteIndex":0},"citationItems":[{"id":253,"uris":["http://zotero.org/users/14566843/items/7WP86UU9"],"itemData":{"id":253,"type":"article-journal","container-title":"Society","DOI":"10.1007/s12115-023-00863-8","ISSN":"0147-2011, 1936-4725","issue":"4","journalAbbreviation":"Soc","language":"en","license":"https://www.springernature.com/gp/researchers/text-and-data-mining","note":"publisher: Springer Science and Business Media LLC","page":"551-565","source":"Crossref","title":"White Christian Nationalism and Youth Development in the USA","volume":"60","author":[{"family":"Nalani","given":"Andrew"},{"family":"Yoshikawa","given":"Hirokazu"}],"issued":{"date-parts":[["2023",8]]}}}],"schema":"https://github.com/citation-style-language/schema/raw/master/csl-citation.json"} </w:instrText>
      </w:r>
      <w:r w:rsidRPr="00496E39">
        <w:rPr>
          <w:rFonts w:cs="Calibri"/>
        </w:rPr>
        <w:fldChar w:fldCharType="separate"/>
      </w:r>
      <w:r w:rsidRPr="00496E39">
        <w:rPr>
          <w:rFonts w:cs="Calibri"/>
          <w:noProof/>
        </w:rPr>
        <w:t>(Nalani und Yoshikawa 2023, 554)</w:t>
      </w:r>
      <w:r w:rsidRPr="00496E39">
        <w:rPr>
          <w:rFonts w:cs="Calibri"/>
        </w:rPr>
        <w:fldChar w:fldCharType="end"/>
      </w:r>
      <w:r w:rsidRPr="00496E39">
        <w:rPr>
          <w:rFonts w:cs="Calibri"/>
        </w:rPr>
        <w:t xml:space="preserve">. An dieser Stelle sei der Vollständigkeit halber lediglich angemerkt, dass sich </w:t>
      </w:r>
      <w:r w:rsidRPr="00496E39">
        <w:rPr>
          <w:rFonts w:cs="Calibri"/>
          <w:i/>
          <w:iCs/>
        </w:rPr>
        <w:t>White Christian Nationalism</w:t>
      </w:r>
      <w:r w:rsidRPr="00496E39">
        <w:rPr>
          <w:rFonts w:cs="Calibri"/>
        </w:rPr>
        <w:t xml:space="preserve"> in den USA in verschiedenen Strömungen auspräg</w:t>
      </w:r>
      <w:r>
        <w:rPr>
          <w:rFonts w:cs="Calibri"/>
        </w:rPr>
        <w:t>t</w:t>
      </w:r>
      <w:r w:rsidRPr="00496E39">
        <w:rPr>
          <w:rFonts w:cs="Calibri"/>
        </w:rPr>
        <w:t xml:space="preserve">, etwa </w:t>
      </w:r>
      <w:r>
        <w:rPr>
          <w:rFonts w:cs="Calibri"/>
        </w:rPr>
        <w:t xml:space="preserve">als </w:t>
      </w:r>
      <w:r w:rsidRPr="00496E39">
        <w:rPr>
          <w:rFonts w:cs="Calibri"/>
        </w:rPr>
        <w:t xml:space="preserve">nationalistischer Calvinismus, </w:t>
      </w:r>
      <w:r>
        <w:rPr>
          <w:rFonts w:cs="Calibri"/>
        </w:rPr>
        <w:t xml:space="preserve">in </w:t>
      </w:r>
      <w:r w:rsidRPr="00496E39">
        <w:rPr>
          <w:rFonts w:cs="Calibri"/>
        </w:rPr>
        <w:t>charismatisch-dominionistische</w:t>
      </w:r>
      <w:r>
        <w:rPr>
          <w:rFonts w:cs="Calibri"/>
        </w:rPr>
        <w:t>n</w:t>
      </w:r>
      <w:r w:rsidRPr="00496E39">
        <w:rPr>
          <w:rFonts w:cs="Calibri"/>
        </w:rPr>
        <w:t xml:space="preserve"> Ansätze</w:t>
      </w:r>
      <w:r>
        <w:rPr>
          <w:rFonts w:cs="Calibri"/>
        </w:rPr>
        <w:t>n</w:t>
      </w:r>
      <w:r w:rsidRPr="00496E39">
        <w:rPr>
          <w:rFonts w:cs="Calibri"/>
        </w:rPr>
        <w:t xml:space="preserve"> oder </w:t>
      </w:r>
      <w:r>
        <w:rPr>
          <w:rFonts w:cs="Calibri"/>
        </w:rPr>
        <w:t xml:space="preserve">als </w:t>
      </w:r>
      <w:r w:rsidRPr="00496E39">
        <w:rPr>
          <w:rFonts w:cs="Calibri"/>
        </w:rPr>
        <w:t xml:space="preserve">katholischer Integralismus mit jeweils unterschiedlichen Bildungs- und Wissenschaftsverständnissen. </w:t>
      </w:r>
    </w:p>
    <w:p w14:paraId="1E54022D" w14:textId="77777777" w:rsidR="00A768F4" w:rsidRPr="007C1C73" w:rsidRDefault="00A768F4" w:rsidP="00A768F4">
      <w:pPr>
        <w:spacing w:line="276" w:lineRule="auto"/>
        <w:jc w:val="both"/>
        <w:rPr>
          <w:rFonts w:cs="Calibri"/>
        </w:rPr>
      </w:pPr>
      <w:r w:rsidRPr="00496E39">
        <w:rPr>
          <w:rFonts w:cs="Calibri"/>
        </w:rPr>
        <w:t xml:space="preserve">Was sich bei George W. Bush 2004 als „Kandidat der christlichen Rechten“ </w:t>
      </w:r>
      <w:r w:rsidRPr="00496E39">
        <w:rPr>
          <w:rFonts w:cs="Calibri"/>
        </w:rPr>
        <w:fldChar w:fldCharType="begin"/>
      </w:r>
      <w:r w:rsidRPr="00496E39">
        <w:rPr>
          <w:rFonts w:cs="Calibri"/>
        </w:rPr>
        <w:instrText xml:space="preserve"> ADDIN ZOTERO_ITEM CSL_CITATION {"citationID":"yqNabbKg","properties":{"formattedCitation":"(Williams, 2012)","plainCitation":"(Williams, 2012)","dontUpdate":true,"noteIndex":0},"citationItems":[{"id":256,"uris":["http://zotero.org/users/14566843/items/97DCZWW9"],"itemData":{"id":256,"type":"book","edition":"1. iss. as an Oxford Univ. Paperback","event-place":"Oxford","ISBN":"978-0-19-992906-1","language":"eng","number-of-pages":"372","publisher":"Oxford Univ. Press","publisher-place":"Oxford","source":"K10plus ISBN","title":"God's own party: the making of the Christian right","title-short":"God's own party","author":[{"family":"Williams","given":"Daniel K."}],"issued":{"date-parts":[["2012"]]}}}],"schema":"https://github.com/citation-style-language/schema/raw/master/csl-citation.json"} </w:instrText>
      </w:r>
      <w:r w:rsidRPr="00496E39">
        <w:rPr>
          <w:rFonts w:cs="Calibri"/>
        </w:rPr>
        <w:fldChar w:fldCharType="separate"/>
      </w:r>
      <w:r w:rsidRPr="00496E39">
        <w:rPr>
          <w:rFonts w:cs="Calibri"/>
          <w:noProof/>
        </w:rPr>
        <w:t>(Williams 2012, 251)</w:t>
      </w:r>
      <w:r w:rsidRPr="00496E39">
        <w:rPr>
          <w:rFonts w:cs="Calibri"/>
        </w:rPr>
        <w:fldChar w:fldCharType="end"/>
      </w:r>
      <w:r w:rsidRPr="00496E39">
        <w:rPr>
          <w:rFonts w:cs="Calibri"/>
        </w:rPr>
        <w:t xml:space="preserve"> abzeichnete, setzte sich bei den aktuelleren US-Präsidentschaftswahlen fort. 2016 stimmten etwa </w:t>
      </w:r>
      <w:r w:rsidRPr="00496E39">
        <w:rPr>
          <w:rFonts w:cs="Calibri"/>
        </w:rPr>
        <w:lastRenderedPageBreak/>
        <w:t xml:space="preserve">81 Prozent der weißen evangelikalen und sogenannten </w:t>
      </w:r>
      <w:r w:rsidRPr="00496E39">
        <w:rPr>
          <w:rFonts w:cs="Calibri"/>
          <w:i/>
          <w:iCs/>
        </w:rPr>
        <w:t>born-again Christians</w:t>
      </w:r>
      <w:r w:rsidRPr="00496E39">
        <w:rPr>
          <w:rFonts w:cs="Calibri"/>
        </w:rPr>
        <w:t xml:space="preserve"> für Donald Trump </w:t>
      </w:r>
      <w:r w:rsidRPr="00496E39">
        <w:rPr>
          <w:rFonts w:cs="Calibri"/>
        </w:rPr>
        <w:fldChar w:fldCharType="begin"/>
      </w:r>
      <w:r w:rsidRPr="00496E39">
        <w:rPr>
          <w:rFonts w:cs="Calibri"/>
        </w:rPr>
        <w:instrText xml:space="preserve"> ADDIN ZOTERO_ITEM CSL_CITATION {"citationID":"XNlhWEIb","properties":{"formattedCitation":"(Huang et al., n.d.)","plainCitation":"(Huang et al., n.d.)","dontUpdate":true,"noteIndex":0},"citationItems":[{"id":254,"uris":["http://zotero.org/users/14566843/items/JFLGZCYN"],"itemData":{"id":254,"type":"article-journal","container-title":"2016","issue":"New York Times","title":"Election 2016: Exit Polls.","URL":"https://www. nytimes.com/interactive/2016/11/08/us/politics/election-exit- polls.html.","author":[{"family":"Huang","given":"J."},{"family":"Jacoby","given":"S."},{"family":"Strickland","given":"M."},{"family":"Lai","given":"K.K.R."}],"accessed":{"date-parts":[["2025",7,18]]}}}],"schema":"https://github.com/citation-style-language/schema/raw/master/csl-citation.json"} </w:instrText>
      </w:r>
      <w:r w:rsidRPr="00496E39">
        <w:rPr>
          <w:rFonts w:cs="Calibri"/>
        </w:rPr>
        <w:fldChar w:fldCharType="separate"/>
      </w:r>
      <w:r w:rsidRPr="00496E39">
        <w:rPr>
          <w:rFonts w:cs="Calibri"/>
          <w:noProof/>
        </w:rPr>
        <w:t>(Huang et al. 2016)</w:t>
      </w:r>
      <w:r w:rsidRPr="00496E39">
        <w:rPr>
          <w:rFonts w:cs="Calibri"/>
        </w:rPr>
        <w:fldChar w:fldCharType="end"/>
      </w:r>
      <w:r w:rsidRPr="00496E39">
        <w:rPr>
          <w:rFonts w:cs="Calibri"/>
        </w:rPr>
        <w:t xml:space="preserve"> und auch bei der letzten Präsidentschaftswahl (2024) lag der Prozentsatz über 80 </w:t>
      </w:r>
      <w:r w:rsidRPr="00496E39">
        <w:rPr>
          <w:rFonts w:cs="Calibri"/>
        </w:rPr>
        <w:fldChar w:fldCharType="begin"/>
      </w:r>
      <w:r w:rsidRPr="00496E39">
        <w:rPr>
          <w:rFonts w:cs="Calibri"/>
        </w:rPr>
        <w:instrText xml:space="preserve"> ADDIN ZOTERO_ITEM CSL_CITATION {"citationID":"S3C4Tfuz","properties":{"formattedCitation":"(Religion and the 2024 Presidential Election, 2025)","plainCitation":"(Religion and the 2024 Presidential Election, 2025)","dontUpdate":true,"noteIndex":0},"citationItems":[{"id":255,"uris":["http://zotero.org/users/14566843/items/RQDPP6UC"],"itemData":{"id":255,"type":"report","publisher":"PRRI","title":"Religion and the 2024 Presidential Election","URL":"https://prri.org/spotlight/religion-and-the-2024-presidential-election/?utm_source=chatgpt.com","accessed":{"date-parts":[["2025",7,18]]},"issued":{"date-parts":[["2025"]]}}}],"schema":"https://github.com/citation-style-language/schema/raw/master/csl-citation.json"} </w:instrText>
      </w:r>
      <w:r w:rsidRPr="00496E39">
        <w:rPr>
          <w:rFonts w:cs="Calibri"/>
        </w:rPr>
        <w:fldChar w:fldCharType="separate"/>
      </w:r>
      <w:r w:rsidRPr="00496E39">
        <w:rPr>
          <w:rFonts w:cs="Calibri"/>
          <w:noProof/>
        </w:rPr>
        <w:t>(PRRI 2025)</w:t>
      </w:r>
      <w:r w:rsidRPr="00496E39">
        <w:rPr>
          <w:rFonts w:cs="Calibri"/>
        </w:rPr>
        <w:fldChar w:fldCharType="end"/>
      </w:r>
      <w:r w:rsidRPr="00496E39">
        <w:rPr>
          <w:rFonts w:cs="Calibri"/>
        </w:rPr>
        <w:t>, was ihren erheblichen Einfluss auf das Wahlergebnis und ihre enge politische Bindung an konservative Positionen verdeutlicht. Dieser Zusammenschluss christlich fundamentalistischer und evangelikaler Gruppen mit stark nationalistischen Bestrebungen wird häufig als</w:t>
      </w:r>
      <w:r w:rsidRPr="00496E39">
        <w:rPr>
          <w:rFonts w:cs="Calibri"/>
          <w:i/>
          <w:iCs/>
        </w:rPr>
        <w:t xml:space="preserve"> christlicher Nationalismus</w:t>
      </w:r>
      <w:r w:rsidRPr="00496E39">
        <w:rPr>
          <w:rFonts w:cs="Calibri"/>
        </w:rPr>
        <w:t xml:space="preserve"> betitelt. Dieser steht für die Vorstellung, dass die USA von Gott als christliche Nation bestimmt seien und daher sowohl Politik als auch Gesellschaft nach christlichen, häufig fundamentalistisch geprägten Werten ausgerichtet sein sollten. Diese Vorstellung wird von Anhänger:innen fundamentalistischer Bewegungen aktiv reproduziert</w:t>
      </w:r>
      <w:r>
        <w:rPr>
          <w:rFonts w:cs="Calibri"/>
        </w:rPr>
        <w:t>;</w:t>
      </w:r>
      <w:r w:rsidRPr="00496E39">
        <w:rPr>
          <w:rFonts w:cs="Calibri"/>
        </w:rPr>
        <w:t xml:space="preserve"> ein Deutungsmuster, das untrennbar mit der Aufrechterhaltung patriarchaler Strukturen und Formen weißer Dominanz (White Supremacy) verbunden ist </w:t>
      </w:r>
      <w:r w:rsidRPr="00496E39">
        <w:rPr>
          <w:rFonts w:cs="Calibri"/>
        </w:rPr>
        <w:fldChar w:fldCharType="begin"/>
      </w:r>
      <w:r w:rsidRPr="00496E39">
        <w:rPr>
          <w:rFonts w:cs="Calibri"/>
        </w:rPr>
        <w:instrText xml:space="preserve"> ADDIN ZOTERO_ITEM CSL_CITATION {"citationID":"dgBGPjwX","properties":{"formattedCitation":"(Nalani und Yoshikawa 2023)","plainCitation":"(Nalani und Yoshikawa 2023)","dontUpdate":true,"noteIndex":0},"citationItems":[{"id":253,"uris":["http://zotero.org/users/14566843/items/7WP86UU9"],"itemData":{"id":253,"type":"article-journal","container-title":"Society","DOI":"10.1007/s12115-023-00863-8","ISSN":"0147-2011, 1936-4725","issue":"4","journalAbbreviation":"Soc","language":"en","license":"https://www.springernature.com/gp/researchers/text-and-data-mining","note":"publisher: Springer Science and Business Media LLC","page":"551-565","source":"Crossref","title":"White Christian Nationalism and Youth Development in the USA","volume":"60","author":[{"family":"Nalani","given":"Andrew"},{"family":"Yoshikawa","given":"Hirokazu"}],"issued":{"date-parts":[["2023",8]]}}}],"schema":"https://github.com/citation-style-language/schema/raw/master/csl-citation.json"} </w:instrText>
      </w:r>
      <w:r w:rsidRPr="00496E39">
        <w:rPr>
          <w:rFonts w:cs="Calibri"/>
        </w:rPr>
        <w:fldChar w:fldCharType="separate"/>
      </w:r>
      <w:r w:rsidRPr="00496E39">
        <w:rPr>
          <w:rFonts w:cs="Calibri"/>
          <w:noProof/>
        </w:rPr>
        <w:t>(Nalani und Yoshikawa 2023, 562)</w:t>
      </w:r>
      <w:r w:rsidRPr="00496E39">
        <w:rPr>
          <w:rFonts w:cs="Calibri"/>
        </w:rPr>
        <w:fldChar w:fldCharType="end"/>
      </w:r>
      <w:r w:rsidRPr="00496E39">
        <w:rPr>
          <w:rFonts w:cs="Calibri"/>
        </w:rPr>
        <w:t>.</w:t>
      </w:r>
    </w:p>
    <w:p w14:paraId="17E4406E" w14:textId="77777777" w:rsidR="00A768F4" w:rsidRPr="004F2C94" w:rsidRDefault="00A768F4" w:rsidP="00A768F4">
      <w:pPr>
        <w:pStyle w:val="StandardWeb"/>
        <w:spacing w:line="276" w:lineRule="auto"/>
        <w:ind w:left="720"/>
        <w:jc w:val="both"/>
        <w:rPr>
          <w:rFonts w:ascii="Calibri" w:hAnsi="Calibri" w:cs="Calibri"/>
          <w:sz w:val="22"/>
          <w:szCs w:val="22"/>
          <w:lang w:val="de-DE"/>
        </w:rPr>
      </w:pPr>
      <w:r w:rsidRPr="004F2C94">
        <w:rPr>
          <w:rFonts w:ascii="Calibri" w:hAnsi="Calibri" w:cs="Calibri"/>
          <w:sz w:val="22"/>
          <w:szCs w:val="22"/>
          <w:lang w:val="de-DE"/>
        </w:rPr>
        <w:t xml:space="preserve">„Christlicher Nationalismus wird eingesetzt, um kulturellen Veränderungen entgegenzutreten, die auf mehr Gleichberechtigung für Gruppen abzielen, die historisch nur begrenzten Zugang zu den Machtstrukturen hatten – Frauen sowie sexuelle, </w:t>
      </w:r>
      <w:r w:rsidRPr="004F2C94">
        <w:rPr>
          <w:rFonts w:ascii="Calibri" w:hAnsi="Calibri" w:cs="Calibri"/>
          <w:i/>
          <w:iCs/>
          <w:sz w:val="22"/>
          <w:szCs w:val="22"/>
          <w:lang w:val="de-DE"/>
        </w:rPr>
        <w:t>racial</w:t>
      </w:r>
      <w:r w:rsidRPr="004F2C94">
        <w:rPr>
          <w:rFonts w:ascii="Calibri" w:hAnsi="Calibri" w:cs="Calibri"/>
          <w:sz w:val="22"/>
          <w:szCs w:val="22"/>
          <w:lang w:val="de-DE"/>
        </w:rPr>
        <w:t xml:space="preserve">, ethnische und religiöse Minderheiten.” </w:t>
      </w:r>
      <w:r w:rsidRPr="004F2C94">
        <w:rPr>
          <w:rFonts w:ascii="Calibri" w:hAnsi="Calibri" w:cs="Calibri"/>
          <w:sz w:val="22"/>
          <w:szCs w:val="22"/>
        </w:rPr>
        <w:fldChar w:fldCharType="begin"/>
      </w:r>
      <w:r w:rsidRPr="004F2C94">
        <w:rPr>
          <w:rFonts w:ascii="Calibri" w:hAnsi="Calibri" w:cs="Calibri"/>
          <w:sz w:val="22"/>
          <w:szCs w:val="22"/>
          <w:lang w:val="de-DE"/>
        </w:rPr>
        <w:instrText xml:space="preserve"> ADDIN ZOTERO_ITEM CSL_CITATION {"citationID":"TNrZBECE","properties":{"formattedCitation":"(Whitehead &amp; Perry, 2020)","plainCitation":"(Whitehead &amp; Perry, 2020)","dontUpdate":true,"noteIndex":0},"citationItems":[{"id":259,"uris":["http://zotero.org/users/14566843/items/ZJH925LJ"],"itemData":{"id":259,"type":"book","abstract":"\"Taking America Back for God conclusively reveals that understanding the current cultural and political climate in the United States requires reckoning with Christian nationalism. Christian ideals and symbols have long played an important role in public life in the United States, but Christian nationalism demands far more than a recognition of religious heritage. At heart, Christian nationalism fights to preserve a particular kind of social order, an order in which everyone, Christians and non-Christians, native-born and immigrants, whites and minorities, men and women, recognizes their proper place in society. The first comprehensive empirical analysis of Christian nationalism in the United States, Taking America Back for God illustrates the scope and tremendous influence of Christian nationalism on debates surrounding the most contentious social issues dominating American public discourse. Drawing on multiple sources of national survey data collected over the past several decades and in-depth interviews, Whitehead and Perry document how Christian nationalism radically shapes what Americans think about who they are as a people, what their future should look like, and how they should get there. Regardless of Americans' political or religious characteristics, whether they are Ambassadors, Accommodators, Resisters, or Rejecters of Christian nationalism provides powerful insight into what they think about immigration, Muslims, gun control, police shootings, atheists, gender roles, and many other political issues-even who they want in the White House. Taking America Back for God convincingly shows how Christian nationalists' desire for political power, rigid social boundaries, and hierarchical order creates significant consequences for all Americans.\"-- Provided by publisher","call-number":"BR516 .W438 2020","event-place":"New York, NY","ISBN":"978-0-19-005788-6","number-of-pages":"268","publisher":"Oxford University Press","publisher-place":"New York, NY","source":"Library of Congress ISBN","title":"Taking America back for God: Christian nationalism in the United States","title-short":"Taking America back for God","author":[{"family":"Whitehead","given":"Andrew L."},{"family":"Perry","given":"Samuel L."}],"issued":{"date-parts":[["2020"]]}}}],"schema":"https://github.com/citation-style-language/schema/raw/master/csl-citation.json"} </w:instrText>
      </w:r>
      <w:r w:rsidRPr="004F2C94">
        <w:rPr>
          <w:rFonts w:ascii="Calibri" w:hAnsi="Calibri" w:cs="Calibri"/>
          <w:sz w:val="22"/>
          <w:szCs w:val="22"/>
        </w:rPr>
        <w:fldChar w:fldCharType="separate"/>
      </w:r>
      <w:r w:rsidRPr="004F2C94">
        <w:rPr>
          <w:rFonts w:ascii="Calibri" w:hAnsi="Calibri" w:cs="Calibri"/>
          <w:noProof/>
          <w:sz w:val="22"/>
          <w:szCs w:val="22"/>
          <w:lang w:val="de-DE"/>
        </w:rPr>
        <w:t xml:space="preserve">(Whitehead und Perry 2020, </w:t>
      </w:r>
      <w:r w:rsidRPr="004F2C94">
        <w:rPr>
          <w:rFonts w:ascii="Calibri" w:eastAsiaTheme="minorHAnsi" w:hAnsi="Calibri" w:cs="Calibri"/>
          <w:kern w:val="2"/>
          <w:sz w:val="22"/>
          <w:szCs w:val="22"/>
          <w:lang w:val="de-DE"/>
          <w14:ligatures w14:val="standardContextual"/>
        </w:rPr>
        <w:t>152-153</w:t>
      </w:r>
      <w:r w:rsidRPr="004F2C94">
        <w:rPr>
          <w:rFonts w:ascii="Calibri" w:hAnsi="Calibri" w:cs="Calibri"/>
          <w:noProof/>
          <w:sz w:val="22"/>
          <w:szCs w:val="22"/>
          <w:lang w:val="de-DE"/>
        </w:rPr>
        <w:t>)</w:t>
      </w:r>
      <w:r w:rsidRPr="004F2C94">
        <w:rPr>
          <w:rFonts w:ascii="Calibri" w:hAnsi="Calibri" w:cs="Calibri"/>
          <w:sz w:val="22"/>
          <w:szCs w:val="22"/>
        </w:rPr>
        <w:fldChar w:fldCharType="end"/>
      </w:r>
      <w:r w:rsidRPr="004F2C94">
        <w:rPr>
          <w:rStyle w:val="Funotenzeichen"/>
          <w:rFonts w:ascii="Calibri" w:eastAsiaTheme="majorEastAsia" w:hAnsi="Calibri" w:cs="Calibri"/>
          <w:sz w:val="22"/>
          <w:szCs w:val="22"/>
        </w:rPr>
        <w:footnoteReference w:id="36"/>
      </w:r>
    </w:p>
    <w:p w14:paraId="2A888BC3" w14:textId="77777777" w:rsidR="00A768F4" w:rsidRPr="002337D3" w:rsidRDefault="00A768F4" w:rsidP="00A768F4">
      <w:pPr>
        <w:spacing w:line="276" w:lineRule="auto"/>
        <w:jc w:val="both"/>
        <w:rPr>
          <w:rFonts w:cs="Calibri"/>
        </w:rPr>
      </w:pPr>
      <w:r w:rsidRPr="00496E39">
        <w:rPr>
          <w:rFonts w:cs="Calibri"/>
        </w:rPr>
        <w:t xml:space="preserve">Unabhängig von sonstigen politischen oder religiösen Einstellungen zeigt sich, dass diese Denkweise besonders eng mit der Ablehnung gleichberechtigter Geschlechterverhältnisse, </w:t>
      </w:r>
      <w:r>
        <w:rPr>
          <w:rFonts w:cs="Calibri"/>
        </w:rPr>
        <w:t>die</w:t>
      </w:r>
      <w:r w:rsidRPr="00496E39">
        <w:rPr>
          <w:rFonts w:cs="Calibri"/>
        </w:rPr>
        <w:t xml:space="preserve"> die Moderne repräsentieren, verknüpft ist: „Christlicher Nationalismus ist der stärkste Indikator für die Unterstützung eines traditionelleren Geschlechterbildes“</w:t>
      </w:r>
      <w:r w:rsidRPr="00496E39">
        <w:rPr>
          <w:rStyle w:val="Funotenzeichen"/>
          <w:rFonts w:cs="Calibri"/>
        </w:rPr>
        <w:footnoteReference w:id="37"/>
      </w:r>
      <w:r w:rsidRPr="00496E39">
        <w:rPr>
          <w:rFonts w:cs="Calibri"/>
        </w:rPr>
        <w:t xml:space="preserve"> </w:t>
      </w:r>
      <w:r w:rsidRPr="00496E39">
        <w:rPr>
          <w:rFonts w:cs="Calibri"/>
        </w:rPr>
        <w:fldChar w:fldCharType="begin"/>
      </w:r>
      <w:r w:rsidRPr="00496E39">
        <w:rPr>
          <w:rFonts w:cs="Calibri"/>
        </w:rPr>
        <w:instrText xml:space="preserve"> ADDIN ZOTERO_ITEM CSL_CITATION {"citationID":"DAQTetiW","properties":{"formattedCitation":"(Whitehead &amp; Perry, 2019)","plainCitation":"(Whitehead &amp; Perry, 2019)","dontUpdate":true,"noteIndex":0},"citationItems":[{"id":252,"uris":["http://zotero.org/users/14566843/items/437NAA8Z"],"itemData":{"id":252,"type":"article-journal","abstract":"AbstractRecent research shows that Americans who adhere to Christian nationalism—an ideology that idealizes and advocates a fusion of Christianity and American civic life—tend to hold authoritarian and exclusionary attitudes, particularly regarding ethno‐racial minorities and nontraditional family forms. Such findings suggest a fundamental connection between Christian nationalism and rigid symbolic boundaries, which would likely extend to Americans’ understanding of gender roles. Drawing on notions connecting religious nationalism with defenses of patriarchal norms and utilizing a recent national, random sample of American adults, the current study examines the link between contemporary Christian nationalism and traditionalist gender ideologies. Our analyses reveal that Christian nationalism is the strongest predictor of holding a more traditionalist gender ideology, even after taking into account a host of political and religious characteristics. Moreover, the relationship between Christian nationalism and gender traditionalism holds across religious traditions, including more gender‐egalitarian groups like Mainline Protestants and even the unaffiliated. We conclude by highlighting the implications of these findings for understanding contemporary populist support for Donald Trump, which previous studies have shown is undergirded by both Christian nationalism and sexism.","container-title":"Canadian Review of Sociology/Revue canadienne de sociologie","DOI":"10.1111/cars.12241","ISSN":"1755-6171, 1755-618X","issue":"2","journalAbbreviation":"Canadian Review of Sociology","language":"en","license":"http://onlinelibrary.wiley.com/termsAndConditions#vor","note":"publisher: Wiley","page":"151-177","source":"Crossref","title":"Is a “Christian America” a More Patriarchal America? Religion, Politics, and Traditionalist Gender Ideology","title-short":"Is a “Christian America” a More Patriarchal America?","volume":"56","author":[{"family":"Whitehead","given":"Andrew L."},{"family":"Perry","given":"Samuel L."}],"issued":{"date-parts":[["2019",5]]}}}],"schema":"https://github.com/citation-style-language/schema/raw/master/csl-citation.json"} </w:instrText>
      </w:r>
      <w:r w:rsidRPr="00496E39">
        <w:rPr>
          <w:rFonts w:cs="Calibri"/>
        </w:rPr>
        <w:fldChar w:fldCharType="separate"/>
      </w:r>
      <w:r w:rsidRPr="00496E39">
        <w:rPr>
          <w:rFonts w:cs="Calibri"/>
          <w:noProof/>
        </w:rPr>
        <w:t>(Whitehead und Perry 2019, 151)</w:t>
      </w:r>
      <w:r w:rsidRPr="00496E39">
        <w:rPr>
          <w:rFonts w:cs="Calibri"/>
        </w:rPr>
        <w:fldChar w:fldCharType="end"/>
      </w:r>
      <w:r w:rsidRPr="00496E39">
        <w:rPr>
          <w:rFonts w:cs="Calibri"/>
        </w:rPr>
        <w:t xml:space="preserve">, was wiederum erklärt, warum autoritäre und populistische Führungspersonen in genannten Milieus oft Rückhalt finden. Nur am Rande muss an dieser Stelle erwähnt werden, dass nicht nur die USA ein </w:t>
      </w:r>
      <w:r>
        <w:rPr>
          <w:rFonts w:cs="Calibri"/>
        </w:rPr>
        <w:t>vermehrtes Aufkommen</w:t>
      </w:r>
      <w:r w:rsidRPr="00496E39">
        <w:rPr>
          <w:rFonts w:cs="Calibri"/>
        </w:rPr>
        <w:t xml:space="preserve"> von christlich-rechten Bewegungen verzeichnen; auch beispielsweise in Russland, Ungarn, Argentinien oder Brasilien k</w:t>
      </w:r>
      <w:r>
        <w:rPr>
          <w:rFonts w:cs="Calibri"/>
        </w:rPr>
        <w:t>ann</w:t>
      </w:r>
      <w:r w:rsidRPr="00496E39">
        <w:rPr>
          <w:rFonts w:cs="Calibri"/>
        </w:rPr>
        <w:t xml:space="preserve"> dies beobachtet werden. Christlich-nationalistische und fundamentalistische Milieus sind neben autoritären Politikstilen </w:t>
      </w:r>
      <w:r w:rsidRPr="00496E39">
        <w:rPr>
          <w:rFonts w:cs="Calibri"/>
        </w:rPr>
        <w:fldChar w:fldCharType="begin"/>
      </w:r>
      <w:r w:rsidRPr="00496E39">
        <w:rPr>
          <w:rFonts w:cs="Calibri"/>
        </w:rPr>
        <w:instrText xml:space="preserve"> ADDIN ZOTERO_ITEM CSL_CITATION {"citationID":"a2ovc0sq72h","properties":{"formattedCitation":"\\uldash{(Whitehead u.\\uc0\\u160{}a. 2018)}","plainCitation":"(Whitehead u. a. 2018)","dontUpdate":true,"noteIndex":0},"citationItems":[{"id":311,"uris":["http://zotero.org/users/14566843/items/CEU8XCIZ"],"itemData":{"id":311,"type":"article-journal","container-title":"Sociology of Religion","DOI":"10.1093/socrel/srx070","ISSN":"1069-4404, 1759-8818","issue":"2","language":"en","license":"https://academic.oup.com/journals/pages/about_us/legal/notices","page":"147-171","source":"DOI.org (Crossref)","title":"Make America Christian Again: Christian Nationalism and Voting for Donald Trump in the 2016 Presidential Election","title-short":"Make America Christian Again","volume":"79","author":[{"family":"Whitehead","given":"Andrew L"},{"family":"Perry","given":"Samuel L"},{"family":"Baker","given":"Joseph O"}],"issued":{"date-parts":[["2018",5,19]]}}}],"schema":"https://github.com/citation-style-language/schema/raw/master/csl-citation.json"} </w:instrText>
      </w:r>
      <w:r w:rsidRPr="00496E39">
        <w:rPr>
          <w:rFonts w:cs="Calibri"/>
        </w:rPr>
        <w:fldChar w:fldCharType="separate"/>
      </w:r>
      <w:r w:rsidRPr="00496E39">
        <w:rPr>
          <w:rFonts w:cs="Calibri"/>
        </w:rPr>
        <w:t>(Whitehead, Perry und Baker 2018, 165)</w:t>
      </w:r>
      <w:r w:rsidRPr="00496E39">
        <w:rPr>
          <w:rFonts w:cs="Calibri"/>
        </w:rPr>
        <w:fldChar w:fldCharType="end"/>
      </w:r>
      <w:r w:rsidRPr="00496E39">
        <w:rPr>
          <w:rFonts w:cs="Calibri"/>
        </w:rPr>
        <w:t xml:space="preserve"> anfällig für eine stark dualistische Weltsicht und damit für verschwörungsideologische Erzählungen. Diese Gruppen neigen dazu, gesellschaftliche Konflikte als Auseinandersetzungen zwischen </w:t>
      </w:r>
      <w:r w:rsidRPr="00496E39">
        <w:rPr>
          <w:rFonts w:cs="Calibri"/>
          <w:i/>
          <w:iCs/>
        </w:rPr>
        <w:t>Gut</w:t>
      </w:r>
      <w:r w:rsidRPr="00496E39">
        <w:rPr>
          <w:rFonts w:cs="Calibri"/>
        </w:rPr>
        <w:t xml:space="preserve"> und </w:t>
      </w:r>
      <w:r w:rsidRPr="00496E39">
        <w:rPr>
          <w:rFonts w:cs="Calibri"/>
          <w:i/>
          <w:iCs/>
        </w:rPr>
        <w:t>Böse</w:t>
      </w:r>
      <w:r w:rsidRPr="00496E39">
        <w:rPr>
          <w:rFonts w:cs="Calibri"/>
        </w:rPr>
        <w:t xml:space="preserve"> zu interpretieren, wobei sie sich selbst auf der Seite des Guten verorten. </w:t>
      </w:r>
      <w:r w:rsidRPr="00414F40">
        <w:rPr>
          <w:rFonts w:cs="Calibri"/>
          <w:i/>
          <w:iCs/>
        </w:rPr>
        <w:t>Inner-Group</w:t>
      </w:r>
      <w:r w:rsidRPr="00496E39">
        <w:rPr>
          <w:rFonts w:cs="Calibri"/>
        </w:rPr>
        <w:t xml:space="preserve">- und </w:t>
      </w:r>
      <w:r w:rsidRPr="00414F40">
        <w:rPr>
          <w:rFonts w:cs="Calibri"/>
          <w:i/>
          <w:iCs/>
        </w:rPr>
        <w:t>Othering</w:t>
      </w:r>
      <w:r w:rsidRPr="00496E39">
        <w:rPr>
          <w:rFonts w:cs="Calibri"/>
        </w:rPr>
        <w:t xml:space="preserve">-Dynamiken sind dabei zentral: Probleme und Spannungen innerhalb der eigenen Gemeinschaft werden oft externalisiert und böswilligen äußeren Gruppen zugeschrieben. So entsteht das Gefühl, dass die Freiheit und Ordnung einer weißen, christlich geprägten USA durch feindliche äußere Kräfte bedroht sei, was eine ausgeprägte Verteidigungshaltung und eine starke Abgrenzung gegenüber als anders markierten Gruppen zur Folge hat </w:t>
      </w:r>
      <w:r w:rsidRPr="00496E39">
        <w:rPr>
          <w:rFonts w:cs="Calibri"/>
        </w:rPr>
        <w:fldChar w:fldCharType="begin"/>
      </w:r>
      <w:r w:rsidRPr="00496E39">
        <w:rPr>
          <w:rFonts w:cs="Calibri"/>
        </w:rPr>
        <w:instrText xml:space="preserve"> ADDIN ZOTERO_ITEM CSL_CITATION {"citationID":"a678e071up","properties":{"formattedCitation":"\\uldash{(Armaly u.\\uc0\\u160{}a. 2022)}","plainCitation":"(Armaly u. a. 2022)","dontUpdate":true,"noteIndex":0},"citationItems":[{"id":303,"uris":["http://zotero.org/users/14566843/items/5JIJLI7D"],"itemData":{"id":303,"type":"article-journal","container-title":"Political Behavior","DOI":"10.1007/s11109-021-09758-y","ISSN":"0190-9320, 1573-6687","issue":"2","journalAbbreviation":"Polit Behav","language":"en","page":"937-960","source":"DOI.org (Crossref)","title":"Christian Nationalism and Political Violence: Victimhood, Racial Identity, Conspiracy, and Support for the Capitol Attacks","title-short":"Christian Nationalism and Political Violence","volume":"44","author":[{"family":"Armaly","given":"Miles T."},{"family":"Buckley","given":"David T."},{"family":"Enders","given":"Adam M."}],"issued":{"date-parts":[["2022",6]]}}}],"schema":"https://github.com/citation-style-language/schema/raw/master/csl-citation.json"} </w:instrText>
      </w:r>
      <w:r w:rsidRPr="00496E39">
        <w:rPr>
          <w:rFonts w:cs="Calibri"/>
        </w:rPr>
        <w:fldChar w:fldCharType="separate"/>
      </w:r>
      <w:r w:rsidRPr="00496E39">
        <w:rPr>
          <w:rFonts w:cs="Calibri"/>
        </w:rPr>
        <w:t>(Armaly, Buckley und Enders 2022, 939-940;</w:t>
      </w:r>
      <w:r w:rsidRPr="00496E39">
        <w:rPr>
          <w:rFonts w:cs="Calibri"/>
        </w:rPr>
        <w:fldChar w:fldCharType="end"/>
      </w:r>
      <w:r w:rsidRPr="00496E39">
        <w:rPr>
          <w:rFonts w:cs="Calibri"/>
        </w:rPr>
        <w:t xml:space="preserve"> </w:t>
      </w:r>
      <w:r w:rsidRPr="00496E39">
        <w:rPr>
          <w:rFonts w:cs="Calibri"/>
        </w:rPr>
        <w:fldChar w:fldCharType="begin"/>
      </w:r>
      <w:r w:rsidRPr="00496E39">
        <w:rPr>
          <w:rFonts w:cs="Calibri"/>
        </w:rPr>
        <w:instrText xml:space="preserve"> ADDIN ZOTERO_ITEM CSL_CITATION {"citationID":"a1ckggoodbh","properties":{"formattedCitation":"\\uldash{(Gorski 2017)}","plainCitation":"(Gorski 2017)","dontUpdate":true,"noteIndex":0},"citationItems":[{"id":395,"uris":["http://zotero.org/users/14566843/items/JNAGH89H"],"itemData":{"id":395,"type":"article-journal","container-title":"American Journal of Cultural Sociology","DOI":"10.1057/s41290-017-0043-9","ISSN":"2049-7113, 2049-7121","issue":"3","journalAbbreviation":"Am J Cult Sociol","language":"en","page":"338-354","source":"DOI.org (Crossref)","title":"Why evangelicals voted for Trump: A critical cultural sociology","title-short":"Why evangelicals voted for Trump","volume":"5","author":[{"family":"Gorski","given":"Philip"}],"issued":{"date-parts":[["2017",10]]}}}],"schema":"https://github.com/citation-style-language/schema/raw/master/csl-citation.json"} </w:instrText>
      </w:r>
      <w:r w:rsidRPr="00496E39">
        <w:rPr>
          <w:rFonts w:cs="Calibri"/>
        </w:rPr>
        <w:fldChar w:fldCharType="separate"/>
      </w:r>
      <w:r w:rsidRPr="00496E39">
        <w:rPr>
          <w:rFonts w:cs="Calibri"/>
        </w:rPr>
        <w:t>Gorski 2017, 340)</w:t>
      </w:r>
      <w:r w:rsidRPr="00496E39">
        <w:rPr>
          <w:rFonts w:cs="Calibri"/>
        </w:rPr>
        <w:fldChar w:fldCharType="end"/>
      </w:r>
      <w:r w:rsidRPr="00496E39">
        <w:rPr>
          <w:rFonts w:cs="Calibri"/>
        </w:rPr>
        <w:t>.</w:t>
      </w:r>
    </w:p>
    <w:p w14:paraId="53667C79" w14:textId="77777777" w:rsidR="00A768F4" w:rsidRPr="004F2C94" w:rsidRDefault="00A768F4" w:rsidP="0000208E">
      <w:pPr>
        <w:pStyle w:val="berschrift2"/>
        <w:numPr>
          <w:ilvl w:val="0"/>
          <w:numId w:val="0"/>
        </w:numPr>
        <w:spacing w:after="160"/>
        <w:ind w:left="576" w:hanging="576"/>
        <w:rPr>
          <w:rFonts w:asciiTheme="minorHAnsi" w:hAnsiTheme="minorHAnsi" w:cstheme="minorHAnsi"/>
          <w:color w:val="016D72"/>
          <w:sz w:val="26"/>
          <w:szCs w:val="26"/>
        </w:rPr>
      </w:pPr>
      <w:bookmarkStart w:id="83" w:name="_Toc215819940"/>
      <w:r w:rsidRPr="004F2C94">
        <w:rPr>
          <w:rFonts w:asciiTheme="minorHAnsi" w:hAnsiTheme="minorHAnsi" w:cstheme="minorHAnsi"/>
          <w:color w:val="016D72"/>
          <w:sz w:val="26"/>
          <w:szCs w:val="26"/>
        </w:rPr>
        <w:t>4.3. Pädagogische Dimension</w:t>
      </w:r>
      <w:bookmarkEnd w:id="83"/>
    </w:p>
    <w:p w14:paraId="1DC2167C" w14:textId="77777777" w:rsidR="00A768F4" w:rsidRPr="00496E39" w:rsidRDefault="00A768F4" w:rsidP="00A768F4">
      <w:pPr>
        <w:spacing w:line="276" w:lineRule="auto"/>
        <w:jc w:val="both"/>
        <w:rPr>
          <w:rFonts w:cs="Calibri"/>
          <w:color w:val="000000"/>
        </w:rPr>
      </w:pPr>
      <w:r w:rsidRPr="00496E39">
        <w:rPr>
          <w:rFonts w:cs="Calibri"/>
        </w:rPr>
        <w:t xml:space="preserve">Dieser sogenannte </w:t>
      </w:r>
      <w:r w:rsidRPr="00496E39">
        <w:rPr>
          <w:rFonts w:cs="Calibri"/>
          <w:i/>
          <w:iCs/>
        </w:rPr>
        <w:t>Culture War</w:t>
      </w:r>
      <w:r w:rsidRPr="00496E39">
        <w:rPr>
          <w:rFonts w:cs="Calibri"/>
        </w:rPr>
        <w:t xml:space="preserve"> umspannte auch auf Bildungsebene schon früh sowohl Themen </w:t>
      </w:r>
      <w:r>
        <w:rPr>
          <w:rFonts w:cs="Calibri"/>
        </w:rPr>
        <w:t>wie</w:t>
      </w:r>
      <w:r w:rsidRPr="00496E39">
        <w:rPr>
          <w:rFonts w:cs="Calibri"/>
        </w:rPr>
        <w:t xml:space="preserve"> Geschlechterrollen, Fragen der körperlichen Selbstbestimmung, queere Rechte </w:t>
      </w:r>
      <w:r>
        <w:rPr>
          <w:rFonts w:cs="Calibri"/>
        </w:rPr>
        <w:t>als auch die</w:t>
      </w:r>
      <w:r w:rsidRPr="00496E39">
        <w:rPr>
          <w:rFonts w:cs="Calibri"/>
        </w:rPr>
        <w:t xml:space="preserve"> Frage danach, was </w:t>
      </w:r>
      <w:r>
        <w:rPr>
          <w:rFonts w:cs="Calibri"/>
        </w:rPr>
        <w:t>a</w:t>
      </w:r>
      <w:r w:rsidRPr="00496E39">
        <w:rPr>
          <w:rFonts w:cs="Calibri"/>
        </w:rPr>
        <w:t xml:space="preserve">n Schulen gelehrt werden soll </w:t>
      </w:r>
      <w:r w:rsidRPr="00496E39">
        <w:rPr>
          <w:rFonts w:cs="Calibri"/>
        </w:rPr>
        <w:fldChar w:fldCharType="begin"/>
      </w:r>
      <w:r w:rsidRPr="00496E39">
        <w:rPr>
          <w:rFonts w:cs="Calibri"/>
        </w:rPr>
        <w:instrText xml:space="preserve"> ADDIN ZOTERO_ITEM CSL_CITATION {"citationID":"a2bntt24cn","properties":{"formattedCitation":"\\uldash{(Nalani und Yoshikawa 2023)}","plainCitation":"(Nalani und Yoshikawa 2023)","dontUpdate":true,"noteIndex":0},"citationItems":[{"id":253,"uris":["http://zotero.org/users/14566843/items/7WP86UU9"],"itemData":{"id":253,"type":"article-journal","container-title":"Society","DOI":"10.1007/s12115-023-00863-8","ISSN":"0147-2011, 1936-4725","issue":"4","journalAbbreviation":"Soc","language":"en","license":"https://www.springernature.com/gp/researchers/text-and-data-mining","note":"publisher: Springer Science and Business Media LLC","page":"551-565","source":"Crossref","title":"White Christian Nationalism and Youth Development in the USA","volume":"60","author":[{"family":"Nalani","given":"Andrew"},{"family":"Yoshikawa","given":"Hirokazu"}],"issued":{"date-parts":[["2023",8]]}}}],"schema":"https://github.com/citation-style-language/schema/raw/master/csl-citation.json"} </w:instrText>
      </w:r>
      <w:r w:rsidRPr="00496E39">
        <w:rPr>
          <w:rFonts w:cs="Calibri"/>
        </w:rPr>
        <w:fldChar w:fldCharType="separate"/>
      </w:r>
      <w:r w:rsidRPr="00496E39">
        <w:rPr>
          <w:rFonts w:cs="Calibri"/>
        </w:rPr>
        <w:t>(Nalani und Yoshikawa 2023, 552-558)</w:t>
      </w:r>
      <w:r w:rsidRPr="00496E39">
        <w:rPr>
          <w:rFonts w:cs="Calibri"/>
        </w:rPr>
        <w:fldChar w:fldCharType="end"/>
      </w:r>
      <w:r w:rsidRPr="00496E39">
        <w:rPr>
          <w:rFonts w:cs="Calibri"/>
        </w:rPr>
        <w:t xml:space="preserve">. Der Einfluss auf das Bildungssystem der USA ist dabei nicht zu übersehen. Neben staatlichen Schulen existiert eine </w:t>
      </w:r>
      <w:r w:rsidRPr="00496E39">
        <w:rPr>
          <w:rFonts w:cs="Calibri"/>
        </w:rPr>
        <w:lastRenderedPageBreak/>
        <w:t xml:space="preserve">Vielzahl an privaten Bildungsträgern, </w:t>
      </w:r>
      <w:r>
        <w:rPr>
          <w:rFonts w:cs="Calibri"/>
        </w:rPr>
        <w:t>die</w:t>
      </w:r>
      <w:r w:rsidRPr="00496E39">
        <w:rPr>
          <w:rFonts w:cs="Calibri"/>
        </w:rPr>
        <w:t xml:space="preserve"> sich christlich fundamentalistischen Glaubenslehren verschrieben haben </w:t>
      </w:r>
      <w:r w:rsidRPr="00496E39">
        <w:rPr>
          <w:rFonts w:cs="Calibri"/>
        </w:rPr>
        <w:fldChar w:fldCharType="begin"/>
      </w:r>
      <w:r w:rsidRPr="00496E39">
        <w:rPr>
          <w:rFonts w:cs="Calibri"/>
        </w:rPr>
        <w:instrText xml:space="preserve"> ADDIN ZOTERO_ITEM CSL_CITATION {"citationID":"VdPHzXzQ","properties":{"formattedCitation":"(Nalani und Yoshikawa 2023)","plainCitation":"(Nalani und Yoshikawa 2023)","dontUpdate":true,"noteIndex":0},"citationItems":[{"id":253,"uris":["http://zotero.org/users/14566843/items/7WP86UU9"],"itemData":{"id":253,"type":"article-journal","container-title":"Society","DOI":"10.1007/s12115-023-00863-8","ISSN":"0147-2011, 1936-4725","issue":"4","journalAbbreviation":"Soc","language":"en","license":"https://www.springernature.com/gp/researchers/text-and-data-mining","note":"publisher: Springer Science and Business Media LLC","page":"551-565","source":"Crossref","title":"White Christian Nationalism and Youth Development in the USA","volume":"60","author":[{"family":"Nalani","given":"Andrew"},{"family":"Yoshikawa","given":"Hirokazu"}],"issued":{"date-parts":[["2023",8]]}}}],"schema":"https://github.com/citation-style-language/schema/raw/master/csl-citation.json"} </w:instrText>
      </w:r>
      <w:r w:rsidRPr="00496E39">
        <w:rPr>
          <w:rFonts w:cs="Calibri"/>
        </w:rPr>
        <w:fldChar w:fldCharType="separate"/>
      </w:r>
      <w:r w:rsidRPr="00496E39">
        <w:rPr>
          <w:rFonts w:cs="Calibri"/>
          <w:noProof/>
        </w:rPr>
        <w:t>(Nalani und Yoshikawa 2023, 558)</w:t>
      </w:r>
      <w:r w:rsidRPr="00496E39">
        <w:rPr>
          <w:rFonts w:cs="Calibri"/>
        </w:rPr>
        <w:fldChar w:fldCharType="end"/>
      </w:r>
      <w:r w:rsidRPr="00496E39">
        <w:rPr>
          <w:rFonts w:cs="Calibri"/>
        </w:rPr>
        <w:t xml:space="preserve">. Besonders im ländlichen Raum sind Einflüsse christlich fundamentalistischer Bestrebungen deutlich zu erkennen. Während einerseits gezielt nach politischer Einflussnahme auf das öffentliche Bildungssystem gestrebt wird, um religiöse Überzeugungen in den Lehrplan einzubringen, führt das fehlende Vertrauen in öffentliche Institutionen und Bildungseinrichtungen dazu, dass viele Eltern Homeschooling für </w:t>
      </w:r>
      <w:r>
        <w:rPr>
          <w:rFonts w:cs="Calibri"/>
        </w:rPr>
        <w:t>i</w:t>
      </w:r>
      <w:r w:rsidRPr="00496E39">
        <w:rPr>
          <w:rFonts w:cs="Calibri"/>
        </w:rPr>
        <w:t xml:space="preserve">hre Kinder vorziehen </w:t>
      </w:r>
      <w:r w:rsidRPr="00496E39">
        <w:rPr>
          <w:rFonts w:cs="Calibri"/>
        </w:rPr>
        <w:fldChar w:fldCharType="begin"/>
      </w:r>
      <w:r w:rsidRPr="00496E39">
        <w:rPr>
          <w:rFonts w:cs="Calibri"/>
        </w:rPr>
        <w:instrText xml:space="preserve"> ADDIN ZOTERO_ITEM CSL_CITATION {"citationID":"VPLC61BS","properties":{"formattedCitation":"(Cervone 2017)","plainCitation":"(Cervone 2017)","dontUpdate":true,"noteIndex":0},"citationItems":[{"id":1,"uris":["http://zotero.org/users/14566843/items/XZMVSSM3"],"itemData":{"id":1,"type":"article-journal","container-title":"Review of Education, Pedagogy, and Cultural Studies","DOI":"10.1080/10714413.2017.1326278","ISSN":"1071-4413, 1556-3022","issue":"3","journalAbbreviation":"Review of Education, Pedagogy, and Cultural Studies","language":"en","page":"307-328","source":"DOI.org (Crossref)","title":"Fundamentalist Christianity, neoliberal capitalism, and the destruction of rural public education","volume":"39","author":[{"family":"Cervone","given":"Jason A."}],"issued":{"date-parts":[["2017",5,27]]}}}],"schema":"https://github.com/citation-style-language/schema/raw/master/csl-citation.json"} </w:instrText>
      </w:r>
      <w:r w:rsidRPr="00496E39">
        <w:rPr>
          <w:rFonts w:cs="Calibri"/>
        </w:rPr>
        <w:fldChar w:fldCharType="separate"/>
      </w:r>
      <w:r w:rsidRPr="00496E39">
        <w:rPr>
          <w:rFonts w:cs="Calibri"/>
          <w:noProof/>
        </w:rPr>
        <w:t>(Cervone 2017, 307)</w:t>
      </w:r>
      <w:r w:rsidRPr="00496E39">
        <w:rPr>
          <w:rFonts w:cs="Calibri"/>
        </w:rPr>
        <w:fldChar w:fldCharType="end"/>
      </w:r>
      <w:r w:rsidRPr="00496E39">
        <w:rPr>
          <w:rFonts w:cs="Calibri"/>
        </w:rPr>
        <w:t xml:space="preserve">. Die Möglichkeit zum Homeschooling öffnet Türen, Kindern und Jugendlichen fundamentalistische Perspektiven auf Gesellschaft und Wissenschaft darzulegen, </w:t>
      </w:r>
      <w:r>
        <w:rPr>
          <w:rFonts w:cs="Calibri"/>
        </w:rPr>
        <w:t>die</w:t>
      </w:r>
      <w:r w:rsidRPr="00496E39">
        <w:rPr>
          <w:rFonts w:cs="Calibri"/>
        </w:rPr>
        <w:t xml:space="preserve"> in einem institutionellen Kontext zumindest eingeordnet oder diskutiert werden </w:t>
      </w:r>
      <w:r>
        <w:rPr>
          <w:rFonts w:cs="Calibri"/>
        </w:rPr>
        <w:t>würden</w:t>
      </w:r>
      <w:r w:rsidRPr="00496E39">
        <w:rPr>
          <w:rFonts w:cs="Calibri"/>
        </w:rPr>
        <w:t xml:space="preserve">. </w:t>
      </w:r>
    </w:p>
    <w:p w14:paraId="39E5556F" w14:textId="77777777" w:rsidR="00A768F4" w:rsidRPr="000275FA" w:rsidRDefault="00A768F4" w:rsidP="00A768F4">
      <w:pPr>
        <w:spacing w:line="276" w:lineRule="auto"/>
        <w:jc w:val="both"/>
        <w:rPr>
          <w:rFonts w:cs="Calibri"/>
        </w:rPr>
      </w:pPr>
      <w:r w:rsidRPr="007C1C73">
        <w:rPr>
          <w:rFonts w:cs="Calibri"/>
          <w:color w:val="000000"/>
        </w:rPr>
        <w:t xml:space="preserve">Kathleen Wellmann widmet sich in ihren Untersuchungen den Inhalten fundamentalistischer Geschichtserzählungen im US-amerikanischen Schulwesen. Sie beobachtet, dass viele für das Homeschooling populäre Geschichtsbücher eine stark ideologisch geprägte Sichtweise vermitteln: Die Bibel gilt darin als unfehlbar und wörtlich zu verstehen, Geschichte erscheint als Ausdruck göttlicher Lenkung und </w:t>
      </w:r>
      <w:r>
        <w:rPr>
          <w:rFonts w:cs="Calibri"/>
          <w:color w:val="000000"/>
        </w:rPr>
        <w:t>gesellschaftliche Gruppen</w:t>
      </w:r>
      <w:r w:rsidRPr="007C1C73">
        <w:rPr>
          <w:rFonts w:cs="Calibri"/>
          <w:color w:val="000000"/>
        </w:rPr>
        <w:t>, die sich dieser Deutung entziehen, werden als sündhaft dargestellt. Ihre Ablehnung oder Verurteilung erscheint folglich als gerechtfertigt.</w:t>
      </w:r>
      <w:r w:rsidRPr="007C1C73">
        <w:rPr>
          <w:rFonts w:cs="Calibri"/>
        </w:rPr>
        <w:t xml:space="preserve"> Moderne Ideen und Erkenntnisse wie Evolution, Humanismus, Klimawissenschaft oder aber die Ökumene werden als Form der Gottlosigkeit bekämpft. Armut wird nicht als gesellschaftspolitisches Problem, sondern als göttliche Strafe gedeutet, Reichtum als Zeichen göttlicher Gunst.</w:t>
      </w:r>
      <w:r>
        <w:rPr>
          <w:rFonts w:cs="Calibri"/>
        </w:rPr>
        <w:t xml:space="preserve"> In diesem Sinne wird auch die Unterstützung Bedürftiger diffamiert. </w:t>
      </w:r>
      <w:r w:rsidRPr="000275FA">
        <w:rPr>
          <w:rFonts w:cs="Calibri"/>
        </w:rPr>
        <w:t>Kathleen Wellmann führt an dieser Stelle weiter aus:</w:t>
      </w:r>
    </w:p>
    <w:p w14:paraId="2E0B5A9E" w14:textId="77777777" w:rsidR="00A768F4" w:rsidRPr="004F2C94" w:rsidRDefault="00A768F4" w:rsidP="00A768F4">
      <w:pPr>
        <w:pStyle w:val="StandardWeb"/>
        <w:spacing w:line="276" w:lineRule="auto"/>
        <w:ind w:left="720"/>
        <w:jc w:val="both"/>
        <w:rPr>
          <w:rFonts w:ascii="Calibri" w:hAnsi="Calibri" w:cs="Calibri"/>
          <w:sz w:val="22"/>
          <w:szCs w:val="22"/>
          <w:lang w:val="de-DE"/>
        </w:rPr>
      </w:pPr>
      <w:r w:rsidRPr="004F2C94">
        <w:rPr>
          <w:rFonts w:ascii="Calibri" w:hAnsi="Calibri" w:cs="Calibri"/>
          <w:sz w:val="22"/>
          <w:szCs w:val="22"/>
          <w:lang w:val="de-DE"/>
        </w:rPr>
        <w:t>„Am grundlegendsten ist, dass diese Materialien [...] die Geschichte als eine Erzählung des Glaubens verengen und umgestalten, wobei die Bibel der Schlüssel zum Verständnis der Geschichte ist. [...] Den Schülern wird beigebracht, zu beurteilen, ob historische Ereignisse das biblische Christentum gefördert haben. Mit dieser Urteilsfähigkeit und biblischen Beweisen können sie diejenigen identifizieren, die von Gott bevorzugt werden“</w:t>
      </w:r>
      <w:r w:rsidRPr="004F2C94">
        <w:rPr>
          <w:rStyle w:val="Funotenzeichen"/>
          <w:rFonts w:ascii="Calibri" w:eastAsiaTheme="majorEastAsia" w:hAnsi="Calibri" w:cs="Calibri"/>
          <w:sz w:val="22"/>
          <w:szCs w:val="22"/>
          <w:lang w:val="de-DE"/>
        </w:rPr>
        <w:footnoteReference w:id="38"/>
      </w:r>
      <w:r w:rsidRPr="004F2C94">
        <w:rPr>
          <w:rFonts w:ascii="Calibri" w:hAnsi="Calibri" w:cs="Calibri"/>
          <w:sz w:val="22"/>
          <w:szCs w:val="22"/>
          <w:lang w:val="de-DE"/>
        </w:rPr>
        <w:t xml:space="preserve"> </w:t>
      </w:r>
      <w:r w:rsidRPr="004F2C94">
        <w:rPr>
          <w:rFonts w:ascii="Calibri" w:hAnsi="Calibri" w:cs="Calibri"/>
          <w:sz w:val="22"/>
          <w:szCs w:val="22"/>
        </w:rPr>
        <w:fldChar w:fldCharType="begin"/>
      </w:r>
      <w:r w:rsidRPr="004F2C94">
        <w:rPr>
          <w:rFonts w:ascii="Calibri" w:hAnsi="Calibri" w:cs="Calibri"/>
          <w:sz w:val="22"/>
          <w:szCs w:val="22"/>
          <w:lang w:val="de-DE"/>
        </w:rPr>
        <w:instrText xml:space="preserve"> ADDIN ZOTERO_ITEM CSL_CITATION {"citationID":"NOOyTNV3","properties":{"formattedCitation":"(Wellman 2021)","plainCitation":"(Wellman 2021)","dontUpdate":true,"noteIndex":0},"citationItems":[{"id":265,"uris":["http://zotero.org/users/14566843/items/WNBPJXZT"],"itemData":{"id":265,"type":"book","abstract":"The teaching of history has long been the subject of partisan warfare. Religion often plays a prominent role in these debates, as secular progressives and conservative Christians disagree over which historical figures are worthy of study, how (or whether) certain events should be portrayed, and ultimately how tax dollars should be spent. But what about students who are educated outside the public schools, either in religious schools or at home? How are they learning history, and what effect does that have on our democracy? This book analyses the high school world history textbooks produced by the three most influential publishers of Christian educational materials. In these books, the historian, informed by his faith, tells the allegedly unbiased story of God's actions as interpreted through the Bible","collection-title":"Oxford scholarship online","event-place":"New York, NY","ISBN":"978-0-19-757926-8","language":"eng","note":"DOI: 10.1093/oso/9780197579237.001.0001","number-of-pages":"1","publisher":"Oxford University Press","publisher-place":"New York, NY","source":"K10plus ISBN","title":"Hijacking history: how the Christian right teaches history and why it matters","title-short":"Hijacking history","author":[{"family":"Wellman","given":"Kathleen"}],"issued":{"date-parts":[["2021"]]}}}],"schema":"https://github.com/citation-style-language/schema/raw/master/csl-citation.json"} </w:instrText>
      </w:r>
      <w:r w:rsidRPr="004F2C94">
        <w:rPr>
          <w:rFonts w:ascii="Calibri" w:hAnsi="Calibri" w:cs="Calibri"/>
          <w:sz w:val="22"/>
          <w:szCs w:val="22"/>
        </w:rPr>
        <w:fldChar w:fldCharType="separate"/>
      </w:r>
      <w:r w:rsidRPr="004F2C94">
        <w:rPr>
          <w:rFonts w:ascii="Calibri" w:hAnsi="Calibri" w:cs="Calibri"/>
          <w:noProof/>
          <w:sz w:val="22"/>
          <w:szCs w:val="22"/>
          <w:lang w:val="de-DE"/>
        </w:rPr>
        <w:t>(Wellman 2021, 296)</w:t>
      </w:r>
      <w:r w:rsidRPr="004F2C94">
        <w:rPr>
          <w:rFonts w:ascii="Calibri" w:hAnsi="Calibri" w:cs="Calibri"/>
          <w:sz w:val="22"/>
          <w:szCs w:val="22"/>
        </w:rPr>
        <w:fldChar w:fldCharType="end"/>
      </w:r>
      <w:r w:rsidRPr="004F2C94">
        <w:rPr>
          <w:rFonts w:ascii="Calibri" w:hAnsi="Calibri" w:cs="Calibri"/>
          <w:sz w:val="22"/>
          <w:szCs w:val="22"/>
          <w:lang w:val="de-DE"/>
        </w:rPr>
        <w:t>.</w:t>
      </w:r>
    </w:p>
    <w:p w14:paraId="04A02A55" w14:textId="77777777" w:rsidR="00A768F4" w:rsidRDefault="00A768F4" w:rsidP="00A768F4">
      <w:pPr>
        <w:tabs>
          <w:tab w:val="left" w:pos="5217"/>
        </w:tabs>
        <w:spacing w:line="276" w:lineRule="auto"/>
        <w:jc w:val="both"/>
        <w:rPr>
          <w:rFonts w:cs="Calibri"/>
        </w:rPr>
      </w:pPr>
      <w:r w:rsidRPr="007C1C73">
        <w:rPr>
          <w:rFonts w:cs="Calibri"/>
        </w:rPr>
        <w:t xml:space="preserve">Natürlich zeigen sich auch in den USA Unterschiede in der Strenge religiöser Lehren und ihrer praktischen Umsetzung, denn nicht alle Gemeinschaften treten gleichermaßen rigide auf. Besonders zwischen städtischen Ballungsräumen und dünner besiedelten Regionen oder verschiedenen US-Staaten lassen sich </w:t>
      </w:r>
      <w:r>
        <w:rPr>
          <w:rFonts w:cs="Calibri"/>
        </w:rPr>
        <w:t>Unterschiede</w:t>
      </w:r>
      <w:r w:rsidRPr="007C1C73">
        <w:rPr>
          <w:rFonts w:cs="Calibri"/>
        </w:rPr>
        <w:t xml:space="preserve"> beobachten, ebenso innerhalb der fundamentalistisch geprägten Gruppen selbst, etwa in der Frage, wie stark sie sich rechten</w:t>
      </w:r>
      <w:r>
        <w:rPr>
          <w:rStyle w:val="Funotenzeichen"/>
          <w:rFonts w:cs="Calibri"/>
        </w:rPr>
        <w:footnoteReference w:id="39"/>
      </w:r>
      <w:r w:rsidRPr="007C1C73">
        <w:rPr>
          <w:rFonts w:cs="Calibri"/>
        </w:rPr>
        <w:t xml:space="preserve"> Ideologien anschließen oder diese mit ihrer religiösen Überzeugung verknüpfen.</w:t>
      </w:r>
      <w:r>
        <w:rPr>
          <w:rFonts w:cs="Calibri"/>
        </w:rPr>
        <w:t xml:space="preserve"> </w:t>
      </w:r>
      <w:r w:rsidRPr="007C1C73">
        <w:rPr>
          <w:rFonts w:cs="Calibri"/>
        </w:rPr>
        <w:t xml:space="preserve"> Ungeachtet dieser Vielfalt bleibt jedoch der wechselseitige Einfluss solcher Gemeinschaften auf die politische Landschaft unübersehbar. (Schul-)Bildung spielt eine zentrale Rolle bei der Umsetzung der religiösen und gesellschaftspolitischen Ziele.</w:t>
      </w:r>
    </w:p>
    <w:p w14:paraId="6EAA3686" w14:textId="77777777" w:rsidR="00A768F4" w:rsidRPr="00891C40" w:rsidRDefault="00A768F4" w:rsidP="0000208E">
      <w:pPr>
        <w:pStyle w:val="berschrift1"/>
        <w:numPr>
          <w:ilvl w:val="0"/>
          <w:numId w:val="0"/>
        </w:numPr>
        <w:spacing w:after="160"/>
        <w:ind w:left="432" w:hanging="432"/>
        <w:rPr>
          <w:rFonts w:asciiTheme="minorHAnsi" w:hAnsiTheme="minorHAnsi" w:cstheme="minorHAnsi"/>
          <w:color w:val="016D72"/>
          <w:sz w:val="32"/>
          <w:szCs w:val="32"/>
        </w:rPr>
      </w:pPr>
      <w:bookmarkStart w:id="84" w:name="_Toc215819941"/>
      <w:r w:rsidRPr="00891C40">
        <w:rPr>
          <w:rFonts w:asciiTheme="minorHAnsi" w:hAnsiTheme="minorHAnsi" w:cstheme="minorHAnsi"/>
          <w:color w:val="016D72"/>
          <w:sz w:val="32"/>
          <w:szCs w:val="32"/>
        </w:rPr>
        <w:lastRenderedPageBreak/>
        <w:t>5. Typen des christlichen Fundamentalismus in Deutschland</w:t>
      </w:r>
      <w:bookmarkEnd w:id="84"/>
    </w:p>
    <w:p w14:paraId="12FAA972" w14:textId="77777777" w:rsidR="00A768F4" w:rsidRDefault="00A768F4" w:rsidP="00A768F4">
      <w:pPr>
        <w:spacing w:line="276" w:lineRule="auto"/>
        <w:jc w:val="both"/>
        <w:rPr>
          <w:rFonts w:cs="Calibri"/>
        </w:rPr>
      </w:pPr>
      <w:r w:rsidRPr="00496E39">
        <w:rPr>
          <w:rFonts w:cs="Calibri"/>
        </w:rPr>
        <w:t xml:space="preserve">Will </w:t>
      </w:r>
      <w:r>
        <w:rPr>
          <w:rFonts w:cs="Calibri"/>
        </w:rPr>
        <w:t>man verstehen</w:t>
      </w:r>
      <w:r w:rsidRPr="00496E39">
        <w:rPr>
          <w:rFonts w:cs="Calibri"/>
        </w:rPr>
        <w:t xml:space="preserve">, welche </w:t>
      </w:r>
      <w:r>
        <w:rPr>
          <w:rFonts w:cs="Calibri"/>
        </w:rPr>
        <w:t>m</w:t>
      </w:r>
      <w:r w:rsidRPr="00496E39">
        <w:rPr>
          <w:rFonts w:cs="Calibri"/>
        </w:rPr>
        <w:t xml:space="preserve">öglichen Einflüsse christlicher Fundamentalismus auf Gesellschaft und Bildung (in besagten Strukturen) in Deutschland hat und zukünftig haben könnte, muss </w:t>
      </w:r>
      <w:r>
        <w:rPr>
          <w:rFonts w:cs="Calibri"/>
        </w:rPr>
        <w:t xml:space="preserve">man </w:t>
      </w:r>
      <w:r w:rsidRPr="00496E39">
        <w:rPr>
          <w:rFonts w:cs="Calibri"/>
        </w:rPr>
        <w:t>zunächst de</w:t>
      </w:r>
      <w:r>
        <w:rPr>
          <w:rFonts w:cs="Calibri"/>
        </w:rPr>
        <w:t>n</w:t>
      </w:r>
      <w:r w:rsidRPr="00496E39">
        <w:rPr>
          <w:rFonts w:cs="Calibri"/>
        </w:rPr>
        <w:t xml:space="preserve"> Versuch einer Erfassung fundamentalistischer Strömungen untern</w:t>
      </w:r>
      <w:r>
        <w:rPr>
          <w:rFonts w:cs="Calibri"/>
        </w:rPr>
        <w:t>ehmen</w:t>
      </w:r>
      <w:r w:rsidRPr="00496E39">
        <w:rPr>
          <w:rFonts w:cs="Calibri"/>
        </w:rPr>
        <w:t xml:space="preserve">. Ziel dabei ist nicht die Erstellung einer vollständigen quantitativen Erhebung, sondern die Identifikation zentraler Strukturen, </w:t>
      </w:r>
      <w:proofErr w:type="gramStart"/>
      <w:r w:rsidRPr="00496E39">
        <w:rPr>
          <w:rFonts w:cs="Calibri"/>
        </w:rPr>
        <w:t>Akteur:innen</w:t>
      </w:r>
      <w:proofErr w:type="gramEnd"/>
      <w:r w:rsidRPr="00496E39">
        <w:rPr>
          <w:rFonts w:cs="Calibri"/>
        </w:rPr>
        <w:t xml:space="preserve"> </w:t>
      </w:r>
      <w:r w:rsidRPr="002B0D1E">
        <w:rPr>
          <w:rFonts w:cs="Calibri"/>
        </w:rPr>
        <w:t>und Dynamiken innerhalb der gegenwärtigen (freikirchlich-)fundamentalistischen Landschaft in</w:t>
      </w:r>
      <w:r w:rsidRPr="00496E39">
        <w:rPr>
          <w:rFonts w:cs="Calibri"/>
        </w:rPr>
        <w:t xml:space="preserve"> Deutschland. Der folgende Überblick basiert auf einer Auswertung vorhandener wissenschaftlicher und institutioneller Quellen. Berücksichtigt wurden dabei insbesondere wissenschaftliche Publikationen sowie aktuelle Fachartikel </w:t>
      </w:r>
      <w:r w:rsidRPr="00496E39">
        <w:rPr>
          <w:rFonts w:cs="Calibri"/>
        </w:rPr>
        <w:fldChar w:fldCharType="begin"/>
      </w:r>
      <w:r w:rsidRPr="00496E39">
        <w:rPr>
          <w:rFonts w:cs="Calibri"/>
        </w:rPr>
        <w:instrText xml:space="preserve"> ADDIN ZOTERO_ITEM CSL_CITATION {"citationID":"a1q8ee2rlir","properties":{"formattedCitation":"\\uldash{(Elwert u.\\uc0\\u160{}a. 2017)}","plainCitation":"(Elwert u. a. 2017)","dontUpdate":true,"noteIndex":0},"citationItems":[{"id":223,"uris":["http://zotero.org/users/14566843/items/3JSLV38D"],"itemData":{"id":223,"type":"book","abstract":"Die Evangelikalen sind eine der am schnellsten wachsenden religiösen Bewegungen weltweit und gewinnen zunehmend auch im deutschsprachigen Raum an Bedeutung. Dieses Handbuch vermittelt erstmals in deutscher Sprache einen Gesamtüberblick über die christlichen Gruppen, die im weitesten Sinne unter dem Begriff &gt;&gt;Evangelikalismus&lt;&lt; zusammengefasst werden können. Nach einführenden Kapiteln zu Begriff und Forschungsstand erläutern führende Expert_innen die Geschichte und globale Ausbreitung evangelikaler Gruppen. Systematisch werden Lehre und Praxis dieser christlichen Glaubensformen dargestellt und Sozialformen sowie Verflechtungen mit gesellschaftlichen Funktionsbereichen (z.B. Wirtschaft, Politik und Wissenschaft) beleuchtet. (Quelle: www.buchhandel.de)","collection-number":"Band 5","collection-title":"Religionswissenschaft (Bielefeld)","event-place":"Bielefeld","ISBN":"978-3-8376-3201-9","language":"ger","publisher":"Transcript","publisher-place":"Bielefeld","source":"BnF ISBN","title":"Handbuch Evangelikalismus","editor":[{"family":"Elwert","given":"Frederik"},{"family":"Radermacher","given":"Martin"},{"family":"Schlamelcher","given":"Jens"}],"issued":{"date-parts":[["2017"]]}}}],"schema":"https://github.com/citation-style-language/schema/raw/master/csl-citation.json"} </w:instrText>
      </w:r>
      <w:r w:rsidRPr="00496E39">
        <w:rPr>
          <w:rFonts w:cs="Calibri"/>
        </w:rPr>
        <w:fldChar w:fldCharType="separate"/>
      </w:r>
      <w:r w:rsidRPr="00496E39">
        <w:rPr>
          <w:rFonts w:cs="Calibri"/>
        </w:rPr>
        <w:t>(Elwert, Radermacher und Schlamelcher 2017</w:t>
      </w:r>
      <w:r w:rsidRPr="00496E39">
        <w:rPr>
          <w:rFonts w:cs="Calibri"/>
        </w:rPr>
        <w:fldChar w:fldCharType="end"/>
      </w:r>
      <w:r w:rsidRPr="00496E39">
        <w:rPr>
          <w:rFonts w:cs="Calibri"/>
        </w:rPr>
        <w:fldChar w:fldCharType="begin"/>
      </w:r>
      <w:r w:rsidRPr="00496E39">
        <w:rPr>
          <w:rFonts w:cs="Calibri"/>
        </w:rPr>
        <w:instrText xml:space="preserve"> ADDIN ZOTERO_ITEM CSL_CITATION {"citationID":"akc7nmiqhv","properties":{"formattedCitation":"\\uldash{(Elwert u.\\uc0\\u160{}a. 2017)}","plainCitation":"(Elwert u. a. 2017)","dontUpdate":true,"noteIndex":0},"citationItems":[{"id":223,"uris":["http://zotero.org/users/14566843/items/3JSLV38D"],"itemData":{"id":223,"type":"book","abstract":"Die Evangelikalen sind eine der am schnellsten wachsenden religiösen Bewegungen weltweit und gewinnen zunehmend auch im deutschsprachigen Raum an Bedeutung. Dieses Handbuch vermittelt erstmals in deutscher Sprache einen Gesamtüberblick über die christlichen Gruppen, die im weitesten Sinne unter dem Begriff &gt;&gt;Evangelikalismus&lt;&lt; zusammengefasst werden können. Nach einführenden Kapiteln zu Begriff und Forschungsstand erläutern führende Expert_innen die Geschichte und globale Ausbreitung evangelikaler Gruppen. Systematisch werden Lehre und Praxis dieser christlichen Glaubensformen dargestellt und Sozialformen sowie Verflechtungen mit gesellschaftlichen Funktionsbereichen (z.B. Wirtschaft, Politik und Wissenschaft) beleuchtet. (Quelle: www.buchhandel.de)","collection-number":"Band 5","collection-title":"Religionswissenschaft (Bielefeld)","event-place":"Bielefeld","ISBN":"978-3-8376-3201-9","language":"ger","publisher":"Transcript","publisher-place":"Bielefeld","source":"BnF ISBN","title":"Handbuch Evangelikalismus","editor":[{"family":"Elwert","given":"Frederik"},{"family":"Radermacher","given":"Martin"},{"family":"Schlamelcher","given":"Jens"}],"issued":{"date-parts":[["2017"]]}}}],"schema":"https://github.com/citation-style-language/schema/raw/master/csl-citation.json"} </w:instrText>
      </w:r>
      <w:r w:rsidRPr="00496E39">
        <w:rPr>
          <w:rFonts w:cs="Calibri"/>
        </w:rPr>
        <w:fldChar w:fldCharType="separate"/>
      </w:r>
      <w:r w:rsidRPr="00496E39">
        <w:rPr>
          <w:rFonts w:cs="Calibri"/>
        </w:rPr>
        <w:t xml:space="preserve">; </w:t>
      </w:r>
      <w:r w:rsidRPr="00496E39">
        <w:rPr>
          <w:rFonts w:cs="Calibri"/>
        </w:rPr>
        <w:fldChar w:fldCharType="end"/>
      </w:r>
      <w:r w:rsidRPr="00496E39">
        <w:rPr>
          <w:rFonts w:cs="Calibri"/>
        </w:rPr>
        <w:fldChar w:fldCharType="begin"/>
      </w:r>
      <w:r w:rsidRPr="00496E39">
        <w:rPr>
          <w:rFonts w:cs="Calibri"/>
        </w:rPr>
        <w:instrText xml:space="preserve"> ADDIN ZOTERO_ITEM CSL_CITATION {"citationID":"adbjnbghrq","properties":{"formattedCitation":"\\uldash{(Kick und Hemminger 2020)}","plainCitation":"(Kick und Hemminger 2020)","dontUpdate":true,"noteIndex":0},"citationItems":[{"id":238,"uris":["http://zotero.org/users/14566843/items/KZGUN6WU"],"itemData":{"id":238,"type":"report","number":"EZW-Texte 265","publisher":"Evangelische Zentralstelle für Weltanschauungsfragen","title":"Unabhängige Gemeinden neben Kirchen und Freikirchen","author":[{"family":"Kick","given":"Annette"},{"family":"Hemminger","given":"Hansjörg"}],"accessed":{"date-parts":[["2025",9,7]]},"issued":{"date-parts":[["2020"]]}}}],"schema":"https://github.com/citation-style-language/schema/raw/master/csl-citation.json"} </w:instrText>
      </w:r>
      <w:r w:rsidRPr="00496E39">
        <w:rPr>
          <w:rFonts w:cs="Calibri"/>
        </w:rPr>
        <w:fldChar w:fldCharType="separate"/>
      </w:r>
      <w:r w:rsidRPr="00496E39">
        <w:rPr>
          <w:rFonts w:cs="Calibri"/>
        </w:rPr>
        <w:t xml:space="preserve">Kick und Hemminger 2020; </w:t>
      </w:r>
      <w:r w:rsidRPr="00496E39">
        <w:rPr>
          <w:rFonts w:cs="Calibri"/>
        </w:rPr>
        <w:fldChar w:fldCharType="end"/>
      </w:r>
      <w:r w:rsidRPr="00496E39">
        <w:rPr>
          <w:rFonts w:cs="Calibri"/>
        </w:rPr>
        <w:fldChar w:fldCharType="begin"/>
      </w:r>
      <w:r w:rsidRPr="00496E39">
        <w:rPr>
          <w:rFonts w:cs="Calibri"/>
        </w:rPr>
        <w:instrText xml:space="preserve"> ADDIN ZOTERO_ITEM CSL_CITATION {"citationID":"a100asig754","properties":{"formattedCitation":"\\uldash{(Hinsenkamp 2025)}","plainCitation":"(Hinsenkamp 2025)","dontUpdate":true,"noteIndex":0},"citationItems":[{"id":196,"uris":["http://zotero.org/users/local/Q410LiLN/items/RDT379A3","http://zotero.org/users/14566843/items/RDT379A3"],"itemData":{"id":196,"type":"book","abstract":"Die deutschsprachigen und internationalen pfingstlich-charismatischen Bewegungen stehen für eine Transformation von Christentum und Gesellschaft. Maria Hinsenkamp deckt die expandierenden transkonfessionellen Vernetzungen auf, die über das Politische und Kulturelle bis in die Unterhaltungsindustrie hineinreichen. Den Strukturen der »Kingdom-minded Network Christianity« ist ein profiliertes theologisch-weltanschauliches Konzept gemein: Es wird ein bestimmtes Reich-Gottes-Verständnis postuliert, dessen Ziel die Herrschaft Gottes in allen individuellen und gesellschaftlichen Lebensbereichen ist. Eine Auseinandersetzung mit den neuen Entwicklungen ist nicht nur aus klassisch ökumenischer, sondern auch aus gesamtgesellschaftlicher Perspektive hoch relevant","collection-number":"4","collection-title":"Religion in Bewegung | Religion in Motion","event-place":"Bielefeld","ISBN":"978-3-8394-7252-1","language":"ger","note":"DOI: 10.1515/9783839472521","number-of-pages":"1","publisher":"transcript Verlag","publisher-place":"Bielefeld","source":"K10plus ISBN","title":"Visionen eines neuen Christentums: Neuere Entwicklungen pfingstlich-charismatischer Netzwerke","title-short":"Visionen eines neuen Christentums","author":[{"family":"Hinsenkamp","given":"Maria"}],"issued":{"date-parts":[["2025"]]}}}],"schema":"https://github.com/citation-style-language/schema/raw/master/csl-citation.json"} </w:instrText>
      </w:r>
      <w:r w:rsidRPr="00496E39">
        <w:rPr>
          <w:rFonts w:cs="Calibri"/>
        </w:rPr>
        <w:fldChar w:fldCharType="separate"/>
      </w:r>
      <w:r w:rsidRPr="00496E39">
        <w:rPr>
          <w:rFonts w:cs="Calibri"/>
        </w:rPr>
        <w:t>Hinsenkamp 2025)</w:t>
      </w:r>
      <w:r w:rsidRPr="00496E39">
        <w:rPr>
          <w:rFonts w:cs="Calibri"/>
        </w:rPr>
        <w:fldChar w:fldCharType="end"/>
      </w:r>
      <w:r w:rsidRPr="00496E39">
        <w:rPr>
          <w:rFonts w:cs="Calibri"/>
        </w:rPr>
        <w:t xml:space="preserve">. </w:t>
      </w:r>
    </w:p>
    <w:p w14:paraId="35432A25" w14:textId="77777777" w:rsidR="00A768F4" w:rsidRDefault="00A768F4" w:rsidP="00A768F4">
      <w:pPr>
        <w:spacing w:line="276" w:lineRule="auto"/>
        <w:jc w:val="both"/>
        <w:rPr>
          <w:rFonts w:cs="Calibri"/>
        </w:rPr>
      </w:pPr>
      <w:r w:rsidRPr="00496E39">
        <w:rPr>
          <w:rFonts w:cs="Calibri"/>
          <w:color w:val="000000" w:themeColor="text1"/>
        </w:rPr>
        <w:t xml:space="preserve">Aufgrund der dünnen Forschungslage in Deutschland, sowohl in Hinblick auf quantitative Erkenntnisse </w:t>
      </w:r>
      <w:r>
        <w:rPr>
          <w:rFonts w:cs="Calibri"/>
          <w:color w:val="000000" w:themeColor="text1"/>
        </w:rPr>
        <w:t>bzw.</w:t>
      </w:r>
      <w:r w:rsidRPr="00496E39">
        <w:rPr>
          <w:rFonts w:cs="Calibri"/>
          <w:color w:val="000000" w:themeColor="text1"/>
        </w:rPr>
        <w:t xml:space="preserve"> die Anzahl fundamentalistischer Gemeinschaften, als auch offizieller oder inoffizieller Mitglieder, als auch Erkenntnisse </w:t>
      </w:r>
      <w:r>
        <w:rPr>
          <w:rFonts w:cs="Calibri"/>
          <w:color w:val="000000" w:themeColor="text1"/>
        </w:rPr>
        <w:t xml:space="preserve">über </w:t>
      </w:r>
      <w:r w:rsidRPr="00496E39">
        <w:rPr>
          <w:rFonts w:cs="Calibri"/>
          <w:color w:val="000000" w:themeColor="text1"/>
        </w:rPr>
        <w:t>deren politische Orientierung</w:t>
      </w:r>
      <w:r>
        <w:rPr>
          <w:rFonts w:cs="Calibri"/>
          <w:color w:val="000000" w:themeColor="text1"/>
        </w:rPr>
        <w:t>,</w:t>
      </w:r>
      <w:r w:rsidRPr="00496E39">
        <w:rPr>
          <w:rFonts w:cs="Calibri"/>
        </w:rPr>
        <w:t xml:space="preserve"> wurde das Material durch Berichte, Erhebungen und Stellungnahmen verschiedener Fachstellen und zivilgesellschaftlicher Organisationen ergänzt (u.</w:t>
      </w:r>
      <w:r>
        <w:rPr>
          <w:rFonts w:cs="Calibri"/>
        </w:rPr>
        <w:t xml:space="preserve"> </w:t>
      </w:r>
      <w:r w:rsidRPr="00496E39">
        <w:rPr>
          <w:rFonts w:cs="Calibri"/>
        </w:rPr>
        <w:t>a. Sekten-Info NRW, REMID e.</w:t>
      </w:r>
      <w:r>
        <w:rPr>
          <w:rFonts w:cs="Calibri"/>
        </w:rPr>
        <w:t xml:space="preserve"> </w:t>
      </w:r>
      <w:r w:rsidRPr="00496E39">
        <w:rPr>
          <w:rFonts w:cs="Calibri"/>
        </w:rPr>
        <w:t>V.). Darüber hinaus flossen (statistische) Selbstauskünfte freikirchlicher Zusammenschlüsse, Netzwerke und Organisationen (u.</w:t>
      </w:r>
      <w:r>
        <w:rPr>
          <w:rFonts w:cs="Calibri"/>
        </w:rPr>
        <w:t xml:space="preserve"> </w:t>
      </w:r>
      <w:r w:rsidRPr="00496E39">
        <w:rPr>
          <w:rFonts w:cs="Calibri"/>
        </w:rPr>
        <w:t>a. VEF, ACK, ICF</w:t>
      </w:r>
      <w:r w:rsidRPr="00496E39">
        <w:rPr>
          <w:rStyle w:val="Funotenzeichen"/>
          <w:rFonts w:cs="Calibri"/>
        </w:rPr>
        <w:footnoteReference w:id="40"/>
      </w:r>
      <w:r w:rsidRPr="00496E39">
        <w:rPr>
          <w:rFonts w:cs="Calibri"/>
        </w:rPr>
        <w:t xml:space="preserve">) als solche gekennzeichnet mit ein. Die Auswahl der Quellen erfolgte auf Grundlage ihrer thematischen Relevanz für die Arbeit sowie ihrer Aktualität (Publikationszeitraum ca. 2014–2025). </w:t>
      </w:r>
    </w:p>
    <w:p w14:paraId="6CB49BF7" w14:textId="77777777" w:rsidR="00A768F4" w:rsidRPr="007C1C73" w:rsidRDefault="00A768F4" w:rsidP="00A768F4">
      <w:pPr>
        <w:spacing w:line="276" w:lineRule="auto"/>
        <w:jc w:val="both"/>
        <w:rPr>
          <w:rFonts w:cs="Calibri"/>
        </w:rPr>
      </w:pPr>
      <w:r w:rsidRPr="00496E39">
        <w:rPr>
          <w:rFonts w:cs="Calibri"/>
        </w:rPr>
        <w:t xml:space="preserve">Eine quantitative Erhebung von Mitgliederzahlen einzelner (Kleinst-)Gemeinschaften oder Hauskreise in Deutschland gestaltet sich zudem besonders aus zwei zentralen Gründen als herausfordernd. Erstens ist, wie zuvor beschrieben, der Begriff des (christlichen) Fundamentalismus nicht einheitlich definiert und die passenden Merkmale werden von verschiedenen Gemeinschaften in sehr unterschiedlichem Maße erfüllt. Entsprechend lassen sich empirisch allenfalls Tendenzen identifizieren </w:t>
      </w:r>
      <w:r w:rsidRPr="00496E39">
        <w:rPr>
          <w:rFonts w:cs="Calibri"/>
        </w:rPr>
        <w:fldChar w:fldCharType="begin"/>
      </w:r>
      <w:r w:rsidRPr="00496E39">
        <w:rPr>
          <w:rFonts w:cs="Calibri"/>
        </w:rPr>
        <w:instrText xml:space="preserve"> ADDIN ZOTERO_ITEM CSL_CITATION {"citationID":"a2j467b22g6","properties":{"formattedCitation":"\\uldash{(Hochgeschwender 2017)}","plainCitation":"(Hochgeschwender 2017)","dontUpdate":true,"noteIndex":0},"citationItems":[{"id":384,"uris":["http://zotero.org/users/14566843/items/ZBGKECJ4"],"itemData":{"id":384,"type":"chapter","container-title":"Handbuch Evangelikalismus","page":"21-31","publisher":"Transcript","title":"Evangelikalismus: Begriffsbestimmung und phänomenale Abgrenzung","author":[{"family":"Hochgeschwender","given":"Michael"}],"editor":[{"family":"Elwert","given":"Frederik"},{"family":"Radermacher","given":"Martin"},{"family":"Schlamelcher","given":"Jens"}],"issued":{"date-parts":[["2017"]]}}}],"schema":"https://github.com/citation-style-language/schema/raw/master/csl-citation.json"} </w:instrText>
      </w:r>
      <w:r w:rsidRPr="00496E39">
        <w:rPr>
          <w:rFonts w:cs="Calibri"/>
        </w:rPr>
        <w:fldChar w:fldCharType="separate"/>
      </w:r>
      <w:r w:rsidRPr="00496E39">
        <w:rPr>
          <w:rFonts w:cs="Calibri"/>
        </w:rPr>
        <w:t>(Hochgeschwender 2017;</w:t>
      </w:r>
      <w:r w:rsidRPr="00496E39">
        <w:rPr>
          <w:rFonts w:cs="Calibri"/>
        </w:rPr>
        <w:fldChar w:fldCharType="end"/>
      </w:r>
      <w:r w:rsidRPr="00496E39">
        <w:rPr>
          <w:rFonts w:cs="Calibri"/>
        </w:rPr>
        <w:fldChar w:fldCharType="begin"/>
      </w:r>
      <w:r w:rsidRPr="00496E39">
        <w:rPr>
          <w:rFonts w:cs="Calibri"/>
        </w:rPr>
        <w:instrText xml:space="preserve"> ADDIN ZOTERO_ITEM CSL_CITATION {"citationID":"EsQ8GsXP","properties":{"formattedCitation":"(Elwert u.\\uc0\\u160{}a. 2017)","plainCitation":"(Elwert u. a. 2017)","dontUpdate":true,"noteIndex":0},"citationItems":[{"id":223,"uris":["http://zotero.org/users/14566843/items/3JSLV38D"],"itemData":{"id":223,"type":"book","abstract":"Die Evangelikalen sind eine der am schnellsten wachsenden religiösen Bewegungen weltweit und gewinnen zunehmend auch im deutschsprachigen Raum an Bedeutung. Dieses Handbuch vermittelt erstmals in deutscher Sprache einen Gesamtüberblick über die christlichen Gruppen, die im weitesten Sinne unter dem Begriff &gt;&gt;Evangelikalismus&lt;&lt; zusammengefasst werden können. Nach einführenden Kapiteln zu Begriff und Forschungsstand erläutern führende Expert_innen die Geschichte und globale Ausbreitung evangelikaler Gruppen. Systematisch werden Lehre und Praxis dieser christlichen Glaubensformen dargestellt und Sozialformen sowie Verflechtungen mit gesellschaftlichen Funktionsbereichen (z.B. Wirtschaft, Politik und Wissenschaft) beleuchtet. (Quelle: www.buchhandel.de)","collection-number":"Band 5","collection-title":"Religionswissenschaft (Bielefeld)","event-place":"Bielefeld","ISBN":"978-3-8376-3201-9","language":"ger","publisher":"Transcript","publisher-place":"Bielefeld","source":"BnF ISBN","title":"Handbuch Evangelikalismus","editor":[{"family":"Elwert","given":"Frederik"},{"family":"Radermacher","given":"Martin"},{"family":"Schlamelcher","given":"Jens"}],"issued":{"date-parts":[["2017"]]}}}],"schema":"https://github.com/citation-style-language/schema/raw/master/csl-citation.json"} </w:instrText>
      </w:r>
      <w:r w:rsidRPr="00496E39">
        <w:rPr>
          <w:rFonts w:cs="Calibri"/>
        </w:rPr>
        <w:fldChar w:fldCharType="separate"/>
      </w:r>
      <w:r w:rsidRPr="00496E39">
        <w:rPr>
          <w:rFonts w:cs="Calibri"/>
        </w:rPr>
        <w:t xml:space="preserve"> 29-31)</w:t>
      </w:r>
      <w:r w:rsidRPr="00496E39">
        <w:rPr>
          <w:rFonts w:cs="Calibri"/>
        </w:rPr>
        <w:fldChar w:fldCharType="end"/>
      </w:r>
      <w:r w:rsidRPr="00496E39">
        <w:rPr>
          <w:rFonts w:cs="Calibri"/>
        </w:rPr>
        <w:t xml:space="preserve">. Zweitens ist fundamentalistisches Christentum in Deutschland vorrangig im Kontext unabhängiger Freikirchen organisiert, die häufig keine formale Mitgliedschaft kennen, weshalb die Erhebung statistischer Daten herausfordernd, wenn nicht gar unmöglich ist </w:t>
      </w:r>
      <w:r w:rsidRPr="00496E39">
        <w:rPr>
          <w:rFonts w:cs="Calibri"/>
        </w:rPr>
        <w:fldChar w:fldCharType="begin"/>
      </w:r>
      <w:r w:rsidRPr="00496E39">
        <w:rPr>
          <w:rFonts w:cs="Calibri"/>
        </w:rPr>
        <w:instrText xml:space="preserve"> ADDIN ZOTERO_ITEM CSL_CITATION {"citationID":"cpxK70Vc","properties":{"formattedCitation":"(Kick und Hemminger 2020)","plainCitation":"(Kick und Hemminger 2020)","dontUpdate":true,"noteIndex":0},"citationItems":[{"id":238,"uris":["http://zotero.org/users/14566843/items/KZGUN6WU"],"itemData":{"id":238,"type":"report","number":"EZW-Texte 265","publisher":"Evangelische Zentralstelle für Weltanschauungsfragen","title":"Unabhängige Gemeinden neben Kirchen und Freikirchen","author":[{"family":"Kick","given":"Annette"},{"family":"Hemminger","given":"Hansjörg"}],"accessed":{"date-parts":[["2025",9,7]]},"issued":{"date-parts":[["2020"]]}}}],"schema":"https://github.com/citation-style-language/schema/raw/master/csl-citation.json"} </w:instrText>
      </w:r>
      <w:r w:rsidRPr="00496E39">
        <w:rPr>
          <w:rFonts w:cs="Calibri"/>
        </w:rPr>
        <w:fldChar w:fldCharType="separate"/>
      </w:r>
      <w:r w:rsidRPr="00496E39">
        <w:rPr>
          <w:rFonts w:cs="Calibri"/>
          <w:noProof/>
        </w:rPr>
        <w:t>(Kick und Hemminger 2020, 4)</w:t>
      </w:r>
      <w:r w:rsidRPr="00496E39">
        <w:rPr>
          <w:rFonts w:cs="Calibri"/>
        </w:rPr>
        <w:fldChar w:fldCharType="end"/>
      </w:r>
      <w:r w:rsidRPr="00496E39">
        <w:rPr>
          <w:rFonts w:cs="Calibri"/>
        </w:rPr>
        <w:t xml:space="preserve">. Die Lage ist also unübersichtlich </w:t>
      </w:r>
      <w:r w:rsidRPr="00496E39">
        <w:rPr>
          <w:rFonts w:cs="Calibri"/>
        </w:rPr>
        <w:fldChar w:fldCharType="begin"/>
      </w:r>
      <w:r w:rsidRPr="00496E39">
        <w:rPr>
          <w:rFonts w:cs="Calibri"/>
        </w:rPr>
        <w:instrText xml:space="preserve"> ADDIN ZOTERO_ITEM CSL_CITATION {"citationID":"XvnRItzK","properties":{"formattedCitation":"(Guske 2014)","plainCitation":"(Guske 2014)","dontUpdate":true,"noteIndex":0},"citationItems":[{"id":269,"uris":["http://zotero.org/users/14566843/items/MT4W4SQ8"],"itemData":{"id":269,"type":"book","abstract":"Politisch einflussreiche Evangelikale werden insbesondere in den USA verortet. Doch auch deutsche Evangelikale üben einen nicht zu unterschätzenden politischen Einfluss aus. Katja Guske analysiert detailliert politische Einstellungen, Aktivitäten und Handlungsstrategien der deutschen Evangelikalen. Die bisher in den Politikwissenschaften vernachlässigte Erforschung dieser wichtigen religiösen Gruppierung setzt sie ins Verhältnis zu den amerikanischen Evangelikalen und erweitert sie um eine religionskulturell vergleichende Perspektive. Die Autorin beantwortet auf der Basis zahlreicher Interviews mit deutschen Evangelikalen die Frage, ob es sich um eine fundamentalistische Bewegung handelt oder ob sie als Teil der Zivilgesellschaft an den friedlichen Aushandlungsprozessen der religiös pluralistischen und politisch säkularen deutschen Gesellschaft partizipiert. Der Inhalt Entwicklung und Ambivalenz der Säkularisierung Auswirkungen der Säkularisierung auf das Staat-Kirche-Verhältnis Die deutsche evangelikale Bewegung Deutsche Evangelikale und Politik Konfliktpunkte im Agieren der evangelikalen Bewegung Die Zielgruppen Dozierende und Studierende der Politik- und Religionswissenschaften Personen der politischen und religiösen Öffentlichkeit Die Autorin Katja Guske ist Sozialwissenschaftlerin an der Humboldt-Universität zu Berlin und Projektkoordinatorin des von der Haniel Stiftung geförderten interdisziplinären Forschungsbereichs „Program on Religion, Politics and Economics“","collection-title":"SpringerLink Bücher","event-place":"Wiesbaden","ISBN":"978-3-658-03846-5","language":"ger","note":"DOI: 10.1007/978-3-658-03847-2","number-of-pages":"247","publisher":"Springer VS","publisher-place":"Wiesbaden","source":"K10plus ISBN","title":"Zwischen Bibel und Grundgesetz: Die Religionspolitik der Evangelikalen in Deutschland","title-short":"Zwischen Bibel und Grundgesetz","author":[{"family":"Guske","given":"Katja"}],"issued":{"date-parts":[["2014"]]}}}],"schema":"https://github.com/citation-style-language/schema/raw/master/csl-citation.json"} </w:instrText>
      </w:r>
      <w:r w:rsidRPr="00496E39">
        <w:rPr>
          <w:rFonts w:cs="Calibri"/>
        </w:rPr>
        <w:fldChar w:fldCharType="separate"/>
      </w:r>
      <w:r w:rsidRPr="00496E39">
        <w:rPr>
          <w:rFonts w:cs="Calibri"/>
          <w:noProof/>
        </w:rPr>
        <w:t>(Guske 2014, 83)</w:t>
      </w:r>
      <w:r w:rsidRPr="00496E39">
        <w:rPr>
          <w:rFonts w:cs="Calibri"/>
        </w:rPr>
        <w:fldChar w:fldCharType="end"/>
      </w:r>
      <w:r w:rsidRPr="00496E39">
        <w:rPr>
          <w:rFonts w:cs="Calibri"/>
        </w:rPr>
        <w:t xml:space="preserve"> und zudem kann es durch die medial starke Sichtbarkeit einzelner Akteur:innen zu Wahrnehmungsverzerrungen bezüglich poten</w:t>
      </w:r>
      <w:r>
        <w:rPr>
          <w:rFonts w:cs="Calibri"/>
        </w:rPr>
        <w:t>z</w:t>
      </w:r>
      <w:r w:rsidRPr="00496E39">
        <w:rPr>
          <w:rFonts w:cs="Calibri"/>
        </w:rPr>
        <w:t>ieller Anhänger:innenschaft kommen. Während Mitgliederzahlen der Vereinigung Evangelischer Freikirchen (VEF) lediglich rund 297.000 Personen erfassen und weitere etwa 392.000 Angehörige  (REMID 2025)  anderen Freikirchen innerhalb der Arbeitsgemeinschaft Christlicher Kirchen (ACK) zugerechnet werden,</w:t>
      </w:r>
      <w:r w:rsidRPr="007C1C73">
        <w:rPr>
          <w:rFonts w:cs="Calibri"/>
        </w:rPr>
        <w:t xml:space="preserve"> geht der Religionswissenschaftliche Medien- und Informationsdienst e.</w:t>
      </w:r>
      <w:r>
        <w:rPr>
          <w:rFonts w:cs="Calibri"/>
        </w:rPr>
        <w:t xml:space="preserve"> </w:t>
      </w:r>
      <w:r w:rsidRPr="007C1C73">
        <w:rPr>
          <w:rFonts w:cs="Calibri"/>
        </w:rPr>
        <w:t xml:space="preserve">V. (REMID) von einer deutlich höheren Gesamtzahl aus: Er schätzt die Zahl freikirchlich oder pfingstlich organisierter Personen in Deutschland auf mehrere Hunderttausend bis über eine Million. Gesamtschätzungen von etwa rund 1,8 Millionen Angehörigen von Sondergemeinschaften und Freikirchen bleiben jedoch methodisch schwer überprüfbar und sind daher nur bedingt belastbar. Dennoch lohnt sich eine Beschäftigung mit erkennbaren Trends der letzten Jahre, </w:t>
      </w:r>
      <w:r>
        <w:rPr>
          <w:rFonts w:cs="Calibri"/>
        </w:rPr>
        <w:t>die</w:t>
      </w:r>
      <w:r w:rsidRPr="007C1C73">
        <w:rPr>
          <w:rFonts w:cs="Calibri"/>
        </w:rPr>
        <w:t xml:space="preserve"> u.</w:t>
      </w:r>
      <w:r>
        <w:rPr>
          <w:rFonts w:cs="Calibri"/>
        </w:rPr>
        <w:t xml:space="preserve"> </w:t>
      </w:r>
      <w:r w:rsidRPr="007C1C73">
        <w:rPr>
          <w:rFonts w:cs="Calibri"/>
        </w:rPr>
        <w:t xml:space="preserve">a. von den zuvor genannten Fachstellen beschrieben werden. </w:t>
      </w:r>
    </w:p>
    <w:p w14:paraId="67D03A5B" w14:textId="77777777" w:rsidR="00A768F4" w:rsidRPr="007A18D8" w:rsidRDefault="00A768F4" w:rsidP="00A768F4">
      <w:pPr>
        <w:spacing w:line="276" w:lineRule="auto"/>
        <w:jc w:val="both"/>
        <w:rPr>
          <w:rFonts w:cs="Calibri"/>
        </w:rPr>
      </w:pPr>
      <w:r w:rsidRPr="007C1C73">
        <w:rPr>
          <w:rFonts w:cs="Calibri"/>
        </w:rPr>
        <w:t xml:space="preserve">Im Folgenden möchte ich besonders auf zwei Kategorien von christlich </w:t>
      </w:r>
      <w:r>
        <w:rPr>
          <w:rFonts w:cs="Calibri"/>
        </w:rPr>
        <w:t>f</w:t>
      </w:r>
      <w:r w:rsidRPr="007C1C73">
        <w:rPr>
          <w:rFonts w:cs="Calibri"/>
        </w:rPr>
        <w:t xml:space="preserve">undamentalistischen Gruppen und Bewegungen in Deutschland eingehen. Zum einen auf etablierte Gemeinschaften, </w:t>
      </w:r>
      <w:r>
        <w:rPr>
          <w:rFonts w:cs="Calibri"/>
        </w:rPr>
        <w:t>die</w:t>
      </w:r>
      <w:r w:rsidRPr="007C1C73">
        <w:rPr>
          <w:rFonts w:cs="Calibri"/>
        </w:rPr>
        <w:t xml:space="preserve"> historisch </w:t>
      </w:r>
      <w:r w:rsidRPr="007C1C73">
        <w:rPr>
          <w:rFonts w:cs="Calibri"/>
        </w:rPr>
        <w:lastRenderedPageBreak/>
        <w:t xml:space="preserve">gewachsen und einigermaßen stabil in Struktur und Sozialform auftreten. Zum anderen auf neue Bewegungen, </w:t>
      </w:r>
      <w:r>
        <w:rPr>
          <w:rFonts w:cs="Calibri"/>
        </w:rPr>
        <w:t>die</w:t>
      </w:r>
      <w:r w:rsidRPr="007C1C73">
        <w:rPr>
          <w:rFonts w:cs="Calibri"/>
        </w:rPr>
        <w:t xml:space="preserve"> netzwerkbasiert, häufig lose organisiert und stärker digital und popkulturell geprägt sind. Auch diese beiden Gruppen sind nicht klar voneinander abzugrenzen, da Segmente übergreifen und einzelne Gemeinschaften, zumindest partiell oder anlassbezogen, kollaborieren. Und auch an dieser Stelle muss betont werden, dass</w:t>
      </w:r>
      <w:r>
        <w:rPr>
          <w:rFonts w:cs="Calibri"/>
        </w:rPr>
        <w:t>,</w:t>
      </w:r>
      <w:r w:rsidRPr="007C1C73">
        <w:rPr>
          <w:rFonts w:cs="Calibri"/>
        </w:rPr>
        <w:t xml:space="preserve"> wenn im Folgenden über Freikirchen gesprochen wird, nicht jede Freikirche nach der Arbeitsdefinition als fundamentalistisch eingestuft werden kann.</w:t>
      </w:r>
      <w:r>
        <w:rPr>
          <w:rFonts w:cs="Calibri"/>
        </w:rPr>
        <w:t xml:space="preserve"> Denn d</w:t>
      </w:r>
      <w:r w:rsidRPr="007A18D8">
        <w:rPr>
          <w:rFonts w:cs="Calibri"/>
        </w:rPr>
        <w:t xml:space="preserve">er zentrale Unterschied zwischen Freikirchen und Volkskirchen liegt </w:t>
      </w:r>
      <w:r>
        <w:rPr>
          <w:rFonts w:cs="Calibri"/>
        </w:rPr>
        <w:t>zum einen in</w:t>
      </w:r>
      <w:r w:rsidRPr="007A18D8">
        <w:rPr>
          <w:rFonts w:cs="Calibri"/>
        </w:rPr>
        <w:t xml:space="preserve"> ihrer </w:t>
      </w:r>
      <w:r>
        <w:rPr>
          <w:rFonts w:cs="Calibri"/>
        </w:rPr>
        <w:t>Organisationsstruktur</w:t>
      </w:r>
      <w:r w:rsidRPr="007A18D8">
        <w:rPr>
          <w:rFonts w:cs="Calibri"/>
        </w:rPr>
        <w:t xml:space="preserve"> </w:t>
      </w:r>
      <w:r>
        <w:rPr>
          <w:rFonts w:cs="Calibri"/>
        </w:rPr>
        <w:t>und zum anderen in ihrer</w:t>
      </w:r>
      <w:r w:rsidRPr="007A18D8">
        <w:rPr>
          <w:rFonts w:cs="Calibri"/>
        </w:rPr>
        <w:t xml:space="preserve"> Finanzierung durch freiwillige Beiträge</w:t>
      </w:r>
      <w:r>
        <w:rPr>
          <w:rFonts w:cs="Calibri"/>
        </w:rPr>
        <w:t xml:space="preserve"> der Mitglieder</w:t>
      </w:r>
      <w:r w:rsidRPr="007A18D8">
        <w:rPr>
          <w:rFonts w:cs="Calibri"/>
        </w:rPr>
        <w:t>. Diese institutionelle Unabhängigkeit lässt jedoch keine Aussagen</w:t>
      </w:r>
      <w:r>
        <w:rPr>
          <w:rFonts w:cs="Calibri"/>
        </w:rPr>
        <w:t xml:space="preserve"> und direkten Rückschlüsse</w:t>
      </w:r>
      <w:r w:rsidRPr="007A18D8">
        <w:rPr>
          <w:rFonts w:cs="Calibri"/>
        </w:rPr>
        <w:t xml:space="preserve"> über inhaltliche oder bildungstheologische Orientierungen zu</w:t>
      </w:r>
      <w:r>
        <w:rPr>
          <w:rFonts w:cs="Calibri"/>
        </w:rPr>
        <w:t xml:space="preserve"> </w:t>
      </w:r>
      <w:r>
        <w:rPr>
          <w:rFonts w:cs="Calibri"/>
        </w:rPr>
        <w:fldChar w:fldCharType="begin"/>
      </w:r>
      <w:r>
        <w:rPr>
          <w:rFonts w:cs="Calibri"/>
        </w:rPr>
        <w:instrText xml:space="preserve"> ADDIN ZOTERO_ITEM CSL_CITATION {"citationID":"arsh2af4hl","properties":{"formattedCitation":"(Linder 2025)","plainCitation":"(Linder 2025)","noteIndex":0},"citationItems":[{"id":324,"uris":["http://zotero.org/users/14566843/items/S6C7RUGB"],"itemData":{"id":324,"type":"report","collection-title":"Jahresbericht 2024","event-place":"Essen","publisher":"Sekten Info NRW e.V.","publisher-place":"Essen","title":"Zur Vereinbarkeit von christlich-fundamentalistischen Weltanschauungen und professioneller Sozialer Arbeit - eine Praxisperspektive","URL":"https://sekten-info-nrw.de/information/artikel/fundamentalismus/zur-vereinbarkeit-von-christlich-fundamentalistischen-weltanschauungen-und-professioneller-sozialer-arbeit---eine-praxisperspektive","author":[{"family":"Linder","given":"Jule"}],"accessed":{"date-parts":[["2025",7,30]]},"issued":{"date-parts":[["2025",12,5]]}}}],"schema":"https://github.com/citation-style-language/schema/raw/master/csl-citation.json"} </w:instrText>
      </w:r>
      <w:r>
        <w:rPr>
          <w:rFonts w:cs="Calibri"/>
        </w:rPr>
        <w:fldChar w:fldCharType="separate"/>
      </w:r>
      <w:r w:rsidRPr="009E29D6">
        <w:rPr>
          <w:rFonts w:cs="Calibri"/>
        </w:rPr>
        <w:t>(Linder 2025)</w:t>
      </w:r>
      <w:r>
        <w:rPr>
          <w:rFonts w:cs="Calibri"/>
        </w:rPr>
        <w:fldChar w:fldCharType="end"/>
      </w:r>
      <w:r>
        <w:rPr>
          <w:rFonts w:cs="Calibri"/>
        </w:rPr>
        <w:t>.</w:t>
      </w:r>
    </w:p>
    <w:p w14:paraId="3A5B96FE" w14:textId="77777777" w:rsidR="00A768F4" w:rsidRPr="00496E39" w:rsidRDefault="00A768F4" w:rsidP="00A768F4">
      <w:pPr>
        <w:spacing w:line="276" w:lineRule="auto"/>
        <w:jc w:val="both"/>
        <w:rPr>
          <w:rFonts w:cs="Calibri"/>
        </w:rPr>
      </w:pPr>
      <w:r w:rsidRPr="00496E39">
        <w:rPr>
          <w:rFonts w:cs="Calibri"/>
        </w:rPr>
        <w:t xml:space="preserve">Zudem hat eine Mitgliedschaft natürlich keine direkte Auswirkung auf konservativ-fundamentalistische Lebensweisen oder Einstellungen </w:t>
      </w:r>
      <w:r w:rsidRPr="00496E39">
        <w:rPr>
          <w:rFonts w:cs="Calibri"/>
        </w:rPr>
        <w:fldChar w:fldCharType="begin"/>
      </w:r>
      <w:r w:rsidRPr="00496E39">
        <w:rPr>
          <w:rFonts w:cs="Calibri"/>
        </w:rPr>
        <w:instrText xml:space="preserve"> ADDIN ZOTERO_ITEM CSL_CITATION {"citationID":"a2oo7gvkhdh","properties":{"formattedCitation":"\\uldash{(Elwert und Radermacher 2017)}","plainCitation":"(Elwert und Radermacher 2017)","dontUpdate":true,"noteIndex":0},"citationItems":[{"id":247,"uris":["http://zotero.org/users/14566843/items/V7WB3CSP"],"itemData":{"id":247,"type":"chapter","container-title":"Handbuch Evangelikalismus","publisher":"transcript Verlag","title":"Evangelikalismus in Europa","author":[{"family":"Elwert","given":"Frederik"},{"family":"Radermacher","given":"Martin"}],"issued":{"date-parts":[["2017"]]}}}],"schema":"https://github.com/citation-style-language/schema/raw/master/csl-citation.json"} </w:instrText>
      </w:r>
      <w:r w:rsidRPr="00496E39">
        <w:rPr>
          <w:rFonts w:cs="Calibri"/>
        </w:rPr>
        <w:fldChar w:fldCharType="separate"/>
      </w:r>
      <w:r w:rsidRPr="00496E39">
        <w:rPr>
          <w:rFonts w:cs="Calibri"/>
        </w:rPr>
        <w:t>(Elwert und Radermacher 2017, 180)</w:t>
      </w:r>
      <w:r w:rsidRPr="00496E39">
        <w:rPr>
          <w:rFonts w:cs="Calibri"/>
        </w:rPr>
        <w:fldChar w:fldCharType="end"/>
      </w:r>
      <w:r w:rsidRPr="00496E39">
        <w:rPr>
          <w:rFonts w:cs="Calibri"/>
        </w:rPr>
        <w:t xml:space="preserve">. Dennoch sind fundamentalistische Strukturen in </w:t>
      </w:r>
      <w:r>
        <w:rPr>
          <w:rFonts w:cs="Calibri"/>
        </w:rPr>
        <w:t>f</w:t>
      </w:r>
      <w:r w:rsidRPr="00496E39">
        <w:rPr>
          <w:rFonts w:cs="Calibri"/>
        </w:rPr>
        <w:t xml:space="preserve">reikirchlichen Konstrukten wahrscheinlich. </w:t>
      </w:r>
    </w:p>
    <w:p w14:paraId="66BC5142" w14:textId="77777777" w:rsidR="00A768F4" w:rsidRPr="00B729FD" w:rsidRDefault="00A768F4" w:rsidP="0000208E">
      <w:pPr>
        <w:pStyle w:val="berschrift2"/>
        <w:numPr>
          <w:ilvl w:val="0"/>
          <w:numId w:val="0"/>
        </w:numPr>
        <w:spacing w:after="160"/>
        <w:ind w:left="576" w:hanging="576"/>
        <w:rPr>
          <w:rFonts w:asciiTheme="minorHAnsi" w:hAnsiTheme="minorHAnsi" w:cstheme="minorHAnsi"/>
          <w:sz w:val="26"/>
          <w:szCs w:val="26"/>
        </w:rPr>
      </w:pPr>
      <w:bookmarkStart w:id="85" w:name="_Toc215819942"/>
      <w:r w:rsidRPr="00B729FD">
        <w:rPr>
          <w:rFonts w:asciiTheme="minorHAnsi" w:hAnsiTheme="minorHAnsi" w:cstheme="minorHAnsi"/>
          <w:color w:val="016D72"/>
          <w:sz w:val="26"/>
          <w:szCs w:val="26"/>
        </w:rPr>
        <w:t>5.1. Etablierte Gemeinschaften</w:t>
      </w:r>
      <w:bookmarkEnd w:id="85"/>
    </w:p>
    <w:p w14:paraId="618639A6" w14:textId="77777777" w:rsidR="00A768F4" w:rsidRDefault="00A768F4" w:rsidP="00A768F4">
      <w:pPr>
        <w:spacing w:line="276" w:lineRule="auto"/>
        <w:jc w:val="both"/>
        <w:rPr>
          <w:rFonts w:cs="Calibri"/>
        </w:rPr>
      </w:pPr>
      <w:r w:rsidRPr="007C1C73">
        <w:rPr>
          <w:rFonts w:cs="Calibri"/>
        </w:rPr>
        <w:t xml:space="preserve">Ein großer Teil des evangelikalen Spektrums in Deutschland jenseits der beiden großen Kirchen lässt sich drei Hauptsegmenten zuordnen, die zahlenmäßig in etwa vergleichbar sind: Dazu gehören zum einen die </w:t>
      </w:r>
      <w:r w:rsidRPr="00F25817">
        <w:rPr>
          <w:rFonts w:cs="Calibri"/>
          <w:b/>
          <w:bCs/>
        </w:rPr>
        <w:t>traditionellen Freikirchen</w:t>
      </w:r>
      <w:r w:rsidRPr="007C1C73">
        <w:rPr>
          <w:rFonts w:cs="Calibri"/>
        </w:rPr>
        <w:t xml:space="preserve">, die überwiegend in der Vereinigung Evangelischer Freikirchen (VEF) zusammengeschlossen sind, zum anderen unabhängige oder autonome Gemeinden ohne übergeordnete institutionelle Anbindung sowie schließlich freikirchlich geprägte Gemeinschaften </w:t>
      </w:r>
      <w:r>
        <w:rPr>
          <w:rFonts w:cs="Calibri"/>
        </w:rPr>
        <w:t>r</w:t>
      </w:r>
      <w:r w:rsidRPr="007C1C73">
        <w:rPr>
          <w:rFonts w:cs="Calibri"/>
        </w:rPr>
        <w:t>usslanddeutscher Prägung. Die Mitgliederzahlen dieser Gruppen bewegen sich</w:t>
      </w:r>
      <w:r>
        <w:rPr>
          <w:rFonts w:cs="Calibri"/>
        </w:rPr>
        <w:t xml:space="preserve"> schätzungsweise (oft fehlender formaler </w:t>
      </w:r>
      <w:r w:rsidRPr="007C1C73">
        <w:rPr>
          <w:rFonts w:cs="Calibri"/>
        </w:rPr>
        <w:t>Mitgliedschaftsstrukturen</w:t>
      </w:r>
      <w:r>
        <w:rPr>
          <w:rFonts w:cs="Calibri"/>
        </w:rPr>
        <w:t xml:space="preserve"> geschuldet)</w:t>
      </w:r>
      <w:r w:rsidRPr="007C1C73">
        <w:rPr>
          <w:rFonts w:cs="Calibri"/>
        </w:rPr>
        <w:t xml:space="preserve"> jeweils im Bereich zwischen 100.000 und 300.000 Personen </w:t>
      </w:r>
      <w:r w:rsidRPr="005337C6">
        <w:rPr>
          <w:rFonts w:cs="Calibri"/>
        </w:rPr>
        <w:fldChar w:fldCharType="begin"/>
      </w:r>
      <w:r w:rsidRPr="005337C6">
        <w:rPr>
          <w:rFonts w:cs="Calibri"/>
        </w:rPr>
        <w:instrText xml:space="preserve"> ADDIN ZOTERO_ITEM CSL_CITATION {"citationID":"sexCIETb","properties":{"formattedCitation":"(Kick &amp; Hemminger, 2020)","plainCitation":"(Kick &amp; Hemminger, 2020)","dontUpdate":true,"noteIndex":0},"citationItems":[{"id":238,"uris":["http://zotero.org/users/14566843/items/KZGUN6WU"],"itemData":{"id":238,"type":"report","number":"EZW-Texte 265","publisher":"Evangelische Zentralstelle für Weltanschauungsfragen","title":"Unabhängige Gemeinden neben Kirchen und Freikirchen","author":[{"family":"Kick","given":"Annette"},{"family":"Hemminger","given":"Hansjörg"}],"accessed":{"date-parts":[["2025",9,7]]},"issued":{"date-parts":[["2020"]]}}}],"schema":"https://github.com/citation-style-language/schema/raw/master/csl-citation.json"} </w:instrText>
      </w:r>
      <w:r w:rsidRPr="005337C6">
        <w:rPr>
          <w:rFonts w:cs="Calibri"/>
        </w:rPr>
        <w:fldChar w:fldCharType="separate"/>
      </w:r>
      <w:r w:rsidRPr="005337C6">
        <w:rPr>
          <w:rFonts w:cs="Calibri"/>
          <w:noProof/>
        </w:rPr>
        <w:t>(Kick und Hemminger 2020, 4)</w:t>
      </w:r>
      <w:r w:rsidRPr="005337C6">
        <w:rPr>
          <w:rFonts w:cs="Calibri"/>
        </w:rPr>
        <w:fldChar w:fldCharType="end"/>
      </w:r>
      <w:r w:rsidRPr="005337C6">
        <w:rPr>
          <w:rFonts w:cs="Calibri"/>
        </w:rPr>
        <w:t>.</w:t>
      </w:r>
      <w:r w:rsidRPr="007C1C73">
        <w:rPr>
          <w:rFonts w:cs="Calibri"/>
        </w:rPr>
        <w:t xml:space="preserve"> Es ist also </w:t>
      </w:r>
      <w:proofErr w:type="gramStart"/>
      <w:r w:rsidRPr="007C1C73">
        <w:rPr>
          <w:rFonts w:cs="Calibri"/>
        </w:rPr>
        <w:t>durchaus möglich</w:t>
      </w:r>
      <w:proofErr w:type="gramEnd"/>
      <w:r w:rsidRPr="007C1C73">
        <w:rPr>
          <w:rFonts w:cs="Calibri"/>
        </w:rPr>
        <w:t xml:space="preserve">, dass die tatsächliche Anzahl an </w:t>
      </w:r>
      <w:proofErr w:type="gramStart"/>
      <w:r w:rsidRPr="007C1C73">
        <w:rPr>
          <w:rFonts w:cs="Calibri"/>
        </w:rPr>
        <w:t>Gottesdienstbesucher:innen</w:t>
      </w:r>
      <w:proofErr w:type="gramEnd"/>
      <w:r w:rsidRPr="007C1C73">
        <w:rPr>
          <w:rFonts w:cs="Calibri"/>
        </w:rPr>
        <w:t xml:space="preserve"> oder anderweitig Teilnehmenden, zum Beispiel in Haus- oder Bibelkreisen organisiert, von diesen Zahlen abweicht. Es muss </w:t>
      </w:r>
      <w:proofErr w:type="gramStart"/>
      <w:r>
        <w:rPr>
          <w:rFonts w:cs="Calibri"/>
        </w:rPr>
        <w:t>ganz allgemein</w:t>
      </w:r>
      <w:proofErr w:type="gramEnd"/>
      <w:r w:rsidRPr="007C1C73">
        <w:rPr>
          <w:rFonts w:cs="Calibri"/>
        </w:rPr>
        <w:t xml:space="preserve"> von einer </w:t>
      </w:r>
      <w:proofErr w:type="gramStart"/>
      <w:r w:rsidRPr="007C1C73">
        <w:rPr>
          <w:rFonts w:cs="Calibri"/>
        </w:rPr>
        <w:t>Anhänger:innenschaft</w:t>
      </w:r>
      <w:proofErr w:type="gramEnd"/>
      <w:r w:rsidRPr="007C1C73">
        <w:rPr>
          <w:rFonts w:cs="Calibri"/>
        </w:rPr>
        <w:t xml:space="preserve"> ausgegangen werden und dabei von breiten, unterschiedlich ausgeprägten Spektren der Zugehörigkeit</w:t>
      </w:r>
      <w:r>
        <w:rPr>
          <w:rFonts w:cs="Calibri"/>
        </w:rPr>
        <w:t xml:space="preserve">. </w:t>
      </w:r>
    </w:p>
    <w:p w14:paraId="755E8BFD" w14:textId="77777777" w:rsidR="00A768F4" w:rsidRPr="007C1C73" w:rsidRDefault="00A768F4" w:rsidP="00A768F4">
      <w:pPr>
        <w:spacing w:line="276" w:lineRule="auto"/>
        <w:jc w:val="both"/>
        <w:rPr>
          <w:rFonts w:cs="Calibri"/>
        </w:rPr>
      </w:pPr>
      <w:r w:rsidRPr="007C1C73">
        <w:rPr>
          <w:rFonts w:cs="Calibri"/>
        </w:rPr>
        <w:t>Diese etablierten Gemeinschaften zeichnen sich durch stabile organisatorische Strukturen aus. Es handelt sich in der Regel um langjährig bestehende Gemeindeverbände oder Gruppen, in die man nicht selten durch Familienbezüge hineinwächst. Ihr gesellschaftliches Auftreten bleibt meist auf die eigene Community beschränkt, ein über die Gemeindegrenzen hinausreichender politischer oder medialer Einfluss ist eher selten zu beobachten. In den letzten Jahren zeichnet sich jedoch eine zunehmende (gegenseitige) Einflussnahme zwischen etablierten Gemeinschaften und konservativen bis rechten politischen Akteur:innen</w:t>
      </w:r>
      <w:r>
        <w:rPr>
          <w:rFonts w:cs="Calibri"/>
        </w:rPr>
        <w:t xml:space="preserve"> ab,</w:t>
      </w:r>
      <w:r w:rsidRPr="007C1C73">
        <w:rPr>
          <w:rFonts w:cs="Calibri"/>
        </w:rPr>
        <w:t xml:space="preserve"> beispielsweise durch aktivistisch geprägte Interessensüberschneidungen wie den Marsch für das Leben, einem Zusammenschluss von religiös und politisch motivierten Abtreibungsgegner:inne</w:t>
      </w:r>
      <w:r>
        <w:rPr>
          <w:rFonts w:cs="Calibri"/>
        </w:rPr>
        <w:t xml:space="preserve">n </w:t>
      </w:r>
      <w:r w:rsidRPr="00E07417">
        <w:rPr>
          <w:rFonts w:cs="Calibri"/>
        </w:rPr>
        <w:fldChar w:fldCharType="begin"/>
      </w:r>
      <w:r w:rsidRPr="00E07417">
        <w:rPr>
          <w:rFonts w:cs="Calibri"/>
        </w:rPr>
        <w:instrText xml:space="preserve"> ADDIN ZOTERO_ITEM CSL_CITATION {"citationID":"a9iheauln7","properties":{"formattedCitation":"\\uldash{(Sachs 2025)}","plainCitation":"(Sachs 2025)","dontUpdate":true,"noteIndex":0},"citationItems":[{"id":370,"uris":["http://zotero.org/users/14566843/items/TJVWDUV7"],"itemData":{"id":370,"type":"article-journal","abstract":"Der Beitrag untersucht die Ideologieelemente der „Lebensschutz“-Bewegung und ihr Verhältnis zu extrem rechter Ideologie. Theoretisch orientiert sich die Analyse am Rechtsextremismusbegriff von Willibald Holzer, der Rechtsextremismus als Syndromphänomen begreift. Mittels qualitativer Inhaltsanalyse werden die Reden des Münchner Marsches fürs Leben (2021–2023) ausgewertet und die darin enthaltenen Themen, Argumentationslinien und Narrative analysiert. Die Ergebnisse zeigen einen ausgeprägten Dualismus zwischen dem vermeintlich „Natürlichen“ („Kultur des Lebens“) und „Widernatürlichen“ („Kultur des Todes“) als ideologisches Grundmuster. Grundlegende Ideologieelemente sind u. a. ein binäres Geschlechterbild und naturalisierte Geschlechterungleichheit, die Konstruktion eines christlich-europäischen Kulturraums, Antifeminismus, Antipluralismus, Verschwörungsdenken und struktureller Antisemitismus. Die Analyse offenbart deutliche ideologische Schnittstellen mit der extremen Rechten. Auch wenn die Bewegung nicht als eindeutig extrem rechts einzuordnen ist, fungiert sie als Scharnier zwischen der extremen Rechten und der Gesamtgesellschaft und trägt zur Normalisierung rechter Themen und Argumentationsmuster bei.\n          , \n            This article analyses the ideological elements of the “Pro-Life” movement and its relationship to extreme right-wing ideology. Theoretically, the analysis is based on Willibald Holzer’s concept of right-wing extremism, which understands right-wing extremism as a syndrome phenomenon. Using qualitative content analysis, the speeches of the Münchner Marsch fürs Leben (2021–2023) are evaluated and the themes, narratives and lines of argumentation identified within them are analysed. The results show a characteristic dualism between the supposedly “natural” (“Kultur des Lebens”) and “unnatural” (“Kultur des Todes”) as a basic ideological pattern. Fundamental ideological elements include gender binarism and naturalized gender inequality, the construction of a Christian-European cultural space, anti-feminism, anti-pluralism, conspiracy thinking and structural anti-Semitism. The analysis reveals clear ideological overlaps with the extreme right. Even if the movement cannot be classified as clearly extreme right wing, it acts as a hinge between the extreme right and society and contributes to the normalisation of extreme right-wing themes and argumentation patterns.","container-title":"ZRex – Zeitschrift für Rechtsextremismusforschung","DOI":"10.3224/zrex.v5i2.04","ISSN":"2701-9624, 2701-9632","issue":"2-2025","journalAbbreviation":"ZRex","page":"220","source":"DOI.org (Crossref)","title":"„Für das Leben!“ – Deckmantel extrem rechter Ideologie? Die „Lebensschutz“-Bewegung und ihr Verhältnis zum Rechtsextremismus. Eine Analyse der Reden des Münchner Marsch fürs Leben","title-short":"„Für das Leben!“ – Deckmantel extrem rechter Ideologie?","volume":"5","author":[{"family":"Sachs","given":"Linda"}],"issued":{"date-parts":[["2025",10,30]]}}}],"schema":"https://github.com/citation-style-language/schema/raw/master/csl-citation.json"} </w:instrText>
      </w:r>
      <w:r w:rsidRPr="00E07417">
        <w:rPr>
          <w:rFonts w:cs="Calibri"/>
        </w:rPr>
        <w:fldChar w:fldCharType="separate"/>
      </w:r>
      <w:r w:rsidRPr="00414F40">
        <w:rPr>
          <w:rFonts w:cs="Calibri"/>
        </w:rPr>
        <w:t>(Sachs 2025, 234)</w:t>
      </w:r>
      <w:r w:rsidRPr="00E07417">
        <w:rPr>
          <w:rFonts w:cs="Calibri"/>
        </w:rPr>
        <w:fldChar w:fldCharType="end"/>
      </w:r>
      <w:r w:rsidRPr="00E07417">
        <w:rPr>
          <w:rFonts w:cs="Calibri"/>
        </w:rPr>
        <w:t>.</w:t>
      </w:r>
      <w:r w:rsidRPr="007C1C73">
        <w:rPr>
          <w:rFonts w:cs="Calibri"/>
        </w:rPr>
        <w:t xml:space="preserve"> </w:t>
      </w:r>
    </w:p>
    <w:p w14:paraId="7A06AB1B" w14:textId="77777777" w:rsidR="00AC0D88" w:rsidRDefault="00A768F4" w:rsidP="00A768F4">
      <w:pPr>
        <w:spacing w:line="276" w:lineRule="auto"/>
        <w:jc w:val="both"/>
        <w:rPr>
          <w:rFonts w:cs="Calibri"/>
        </w:rPr>
      </w:pPr>
      <w:r w:rsidRPr="007C1C73">
        <w:rPr>
          <w:rFonts w:cs="Calibri"/>
        </w:rPr>
        <w:t xml:space="preserve">Ein großer Teil der klassischen Freikirchen in Deutschland ist in der VEF organisiert. Nach eigenen Angaben vereint die VEF rund 280.000 Mitglieder, die sich auf dreizehn Mitgliedskirchen und zwei Gastkirchen verteilen </w:t>
      </w:r>
      <w:r w:rsidRPr="007C1C73">
        <w:rPr>
          <w:rFonts w:cs="Calibri"/>
        </w:rPr>
        <w:fldChar w:fldCharType="begin"/>
      </w:r>
      <w:r>
        <w:rPr>
          <w:rFonts w:cs="Calibri"/>
        </w:rPr>
        <w:instrText xml:space="preserve"> ADDIN ZOTERO_ITEM CSL_CITATION {"citationID":"dJd3dvOg","properties":{"formattedCitation":"({\\i{}Wir \\uc0\\u252{}ber uns} 09.072025)","plainCitation":"(Wir über uns 09.072025)","dontUpdate":true,"noteIndex":0},"citationItems":[{"id":243,"uris":["http://zotero.org/users/14566843/items/E3L8I6XJ"],"itemData":{"id":243,"type":"entry-encyclopedia","publisher":"Vereinigung Evangelischer Freikirchen","title":"Wir über uns","URL":"https://www.vef.de/wir-uber-uns","issued":{"literal":"09.072025"}}}],"schema":"https://github.com/citation-style-language/schema/raw/master/csl-citation.json"} </w:instrText>
      </w:r>
      <w:r w:rsidRPr="007C1C73">
        <w:rPr>
          <w:rFonts w:cs="Calibri"/>
        </w:rPr>
        <w:fldChar w:fldCharType="separate"/>
      </w:r>
      <w:r w:rsidRPr="007C1C73">
        <w:rPr>
          <w:rFonts w:cs="Calibri"/>
        </w:rPr>
        <w:t>(VEF 2025)</w:t>
      </w:r>
      <w:r w:rsidRPr="007C1C73">
        <w:rPr>
          <w:rFonts w:cs="Calibri"/>
        </w:rPr>
        <w:fldChar w:fldCharType="end"/>
      </w:r>
      <w:r w:rsidRPr="007C1C73">
        <w:rPr>
          <w:rFonts w:cs="Calibri"/>
        </w:rPr>
        <w:t xml:space="preserve">. Zu diesen zählen unter anderem </w:t>
      </w:r>
      <w:proofErr w:type="gramStart"/>
      <w:r w:rsidRPr="007C1C73">
        <w:rPr>
          <w:rFonts w:cs="Calibri"/>
        </w:rPr>
        <w:t>Baptist</w:t>
      </w:r>
      <w:r>
        <w:rPr>
          <w:rFonts w:cs="Calibri"/>
        </w:rPr>
        <w:t>:inn</w:t>
      </w:r>
      <w:r w:rsidRPr="007C1C73">
        <w:rPr>
          <w:rFonts w:cs="Calibri"/>
        </w:rPr>
        <w:t>en</w:t>
      </w:r>
      <w:proofErr w:type="gramEnd"/>
      <w:r w:rsidRPr="007C1C73">
        <w:rPr>
          <w:rFonts w:cs="Calibri"/>
        </w:rPr>
        <w:t xml:space="preserve">, </w:t>
      </w:r>
      <w:proofErr w:type="gramStart"/>
      <w:r w:rsidRPr="007C1C73">
        <w:rPr>
          <w:rFonts w:cs="Calibri"/>
        </w:rPr>
        <w:t>Methodist</w:t>
      </w:r>
      <w:r>
        <w:rPr>
          <w:rFonts w:cs="Calibri"/>
        </w:rPr>
        <w:t>:inn</w:t>
      </w:r>
      <w:r w:rsidRPr="007C1C73">
        <w:rPr>
          <w:rFonts w:cs="Calibri"/>
        </w:rPr>
        <w:t>en</w:t>
      </w:r>
      <w:proofErr w:type="gramEnd"/>
      <w:r w:rsidRPr="007C1C73">
        <w:rPr>
          <w:rFonts w:cs="Calibri"/>
        </w:rPr>
        <w:t xml:space="preserve"> oder Brüdergemeinden. Die VEF bildet damit eine organisatorische Einbettung für einige traditionelle freikirchliche Gemeinschaften, die sowohl in ihrer theologischen Ausrichtung als auch in ihrer gesellschaftlichen Positionierung unterschiedlich geprägt sein können.</w:t>
      </w:r>
    </w:p>
    <w:p w14:paraId="328861E8" w14:textId="2FFF8E66" w:rsidR="00A768F4" w:rsidRPr="00496E39" w:rsidRDefault="00A768F4" w:rsidP="00A768F4">
      <w:pPr>
        <w:spacing w:line="276" w:lineRule="auto"/>
        <w:jc w:val="both"/>
        <w:rPr>
          <w:rFonts w:cs="Calibri"/>
        </w:rPr>
      </w:pPr>
      <w:r w:rsidRPr="00496E39">
        <w:rPr>
          <w:rFonts w:cs="Calibri"/>
        </w:rPr>
        <w:lastRenderedPageBreak/>
        <w:t xml:space="preserve">Ein anderer Teil der freikirchlich geprägten Landschaft in Deutschland geht auf Gemeindegründungen durch russlanddeutsche </w:t>
      </w:r>
      <w:proofErr w:type="gramStart"/>
      <w:r w:rsidRPr="00496E39">
        <w:rPr>
          <w:rFonts w:cs="Calibri"/>
        </w:rPr>
        <w:t>Aussiedler:innen</w:t>
      </w:r>
      <w:proofErr w:type="gramEnd"/>
      <w:r w:rsidRPr="00496E39">
        <w:rPr>
          <w:rFonts w:cs="Calibri"/>
        </w:rPr>
        <w:t xml:space="preserve"> zurück. Diese Gemeinschaften, auch als Migrationskirchen oder </w:t>
      </w:r>
      <w:proofErr w:type="gramStart"/>
      <w:r w:rsidRPr="00496E39">
        <w:rPr>
          <w:rFonts w:cs="Calibri"/>
          <w:b/>
          <w:bCs/>
        </w:rPr>
        <w:t>Aussiedler:innengemeinden</w:t>
      </w:r>
      <w:proofErr w:type="gramEnd"/>
      <w:r>
        <w:rPr>
          <w:rFonts w:cs="Calibri"/>
        </w:rPr>
        <w:t xml:space="preserve"> </w:t>
      </w:r>
      <w:r w:rsidRPr="00496E39">
        <w:rPr>
          <w:rFonts w:cs="Calibri"/>
        </w:rPr>
        <w:t xml:space="preserve">bezeichnet, entstanden vor dem Hintergrund spezifischer historischer und kultureller Erfahrungen, insbesondere unter repressiven Bedingungen in der damaligen Sowjetunion. Die Einschränkungen, </w:t>
      </w:r>
      <w:r>
        <w:rPr>
          <w:rFonts w:cs="Calibri"/>
        </w:rPr>
        <w:t>die</w:t>
      </w:r>
      <w:r w:rsidRPr="00496E39">
        <w:rPr>
          <w:rFonts w:cs="Calibri"/>
        </w:rPr>
        <w:t xml:space="preserve"> dort in Bezug auf religiöse Praxis bestanden, führten zu Rückzug und Abgrenzung. Diese Muster der Separierung lassen sich noch heute beobachten </w:t>
      </w:r>
      <w:r w:rsidRPr="00496E39">
        <w:rPr>
          <w:rFonts w:cs="Calibri"/>
        </w:rPr>
        <w:fldChar w:fldCharType="begin"/>
      </w:r>
      <w:r w:rsidRPr="00496E39">
        <w:rPr>
          <w:rFonts w:cs="Calibri"/>
        </w:rPr>
        <w:instrText xml:space="preserve"> ADDIN ZOTERO_ITEM CSL_CITATION {"citationID":"a2oksijtj79","properties":{"formattedCitation":"(Ens 2017)","plainCitation":"(Ens 2017)","noteIndex":0},"citationItems":[{"id":248,"uris":["http://zotero.org/users/14566843/items/JWW9VJSC"],"itemData":{"id":248,"type":"article-journal","journalAbbreviation":"Bundeszentrale für politische Bildung (BpB)","title":"Religiosität unter Russlanddeutschen","URL":"https://www.bpb.de/themen/migration-integration/kurzdossiers/252539/religiositaet-unter-russlanddeutschen/#footnote-target-11","volume":"Russlanddeutsche und andere postsozialistische Migranten   Inhalt merken","author":[{"family":"Ens","given":"Kornelius"}],"issued":{"date-parts":[["2017"]]}}}],"schema":"https://github.com/citation-style-language/schema/raw/master/csl-citation.json"} </w:instrText>
      </w:r>
      <w:r w:rsidRPr="00496E39">
        <w:rPr>
          <w:rFonts w:cs="Calibri"/>
        </w:rPr>
        <w:fldChar w:fldCharType="separate"/>
      </w:r>
      <w:r w:rsidRPr="00496E39">
        <w:rPr>
          <w:rFonts w:cs="Calibri"/>
        </w:rPr>
        <w:t>(Ens 2017)</w:t>
      </w:r>
      <w:r w:rsidRPr="00496E39">
        <w:rPr>
          <w:rFonts w:cs="Calibri"/>
        </w:rPr>
        <w:fldChar w:fldCharType="end"/>
      </w:r>
      <w:r w:rsidRPr="00496E39">
        <w:rPr>
          <w:rFonts w:cs="Calibri"/>
        </w:rPr>
        <w:t xml:space="preserve">. Schätzungen zufolge gehörten 2015 etwa 100.000 Personen Freikirchen an, die aus </w:t>
      </w:r>
      <w:r>
        <w:rPr>
          <w:rFonts w:cs="Calibri"/>
        </w:rPr>
        <w:t>r</w:t>
      </w:r>
      <w:r w:rsidRPr="00496E39">
        <w:rPr>
          <w:rFonts w:cs="Calibri"/>
        </w:rPr>
        <w:t xml:space="preserve">usslanddeutschen Gründungen hervorgegangen </w:t>
      </w:r>
      <w:r w:rsidRPr="00496E39">
        <w:rPr>
          <w:rFonts w:cs="Calibri"/>
        </w:rPr>
        <w:fldChar w:fldCharType="begin"/>
      </w:r>
      <w:r w:rsidRPr="00496E39">
        <w:rPr>
          <w:rFonts w:cs="Calibri"/>
        </w:rPr>
        <w:instrText xml:space="preserve"> ADDIN ZOTERO_ITEM CSL_CITATION {"citationID":"a2e6g8b4198","properties":{"formattedCitation":"\\uldash{(Elwert 2015)}","plainCitation":"(Elwert 2015)","dontUpdate":true,"noteIndex":0},"citationItems":[{"id":383,"uris":["http://zotero.org/users/14566843/items/X4A4X7AJ"],"itemData":{"id":383,"type":"book","event-place":"Wiesbaden","ISBN":"978-3-658-10099-5","language":"de","license":"https://www.springernature.com/gp/researchers/text-and-data-mining","note":"DOI: 10.1007/978-3-658-10100-8","publisher":"Springer Fachmedien Wiesbaden","publisher-place":"Wiesbaden","source":"DOI.org (Crossref)","title":"Religion als Ressource und Restriktion im Integrationsprozess: Eine Fallstudie zu Biographien freikirchlicher Russlanddeutscher","title-short":"Religion als Ressource und Restriktion im Integrationsprozess","URL":"https://link.springer.com/10.1007/978-3-658-10100-8","author":[{"family":"Elwert","given":"Frederik"}],"accessed":{"date-parts":[["2025",11,11]]},"issued":{"date-parts":[["2015"]]}}}],"schema":"https://github.com/citation-style-language/schema/raw/master/csl-citation.json"} </w:instrText>
      </w:r>
      <w:r w:rsidRPr="00496E39">
        <w:rPr>
          <w:rFonts w:cs="Calibri"/>
        </w:rPr>
        <w:fldChar w:fldCharType="separate"/>
      </w:r>
      <w:r w:rsidRPr="00496E39">
        <w:rPr>
          <w:rFonts w:cs="Calibri"/>
        </w:rPr>
        <w:t>(Elwert 2015, 23)</w:t>
      </w:r>
      <w:r w:rsidRPr="00496E39">
        <w:rPr>
          <w:rFonts w:cs="Calibri"/>
        </w:rPr>
        <w:fldChar w:fldCharType="end"/>
      </w:r>
      <w:r w:rsidRPr="00496E39">
        <w:rPr>
          <w:rFonts w:cs="Calibri"/>
        </w:rPr>
        <w:t xml:space="preserve"> und zu einem großen Teil mennonitisch, baptistisch </w:t>
      </w:r>
      <w:r w:rsidRPr="00496E39">
        <w:rPr>
          <w:rFonts w:cs="Calibri"/>
        </w:rPr>
        <w:fldChar w:fldCharType="begin"/>
      </w:r>
      <w:r w:rsidRPr="00496E39">
        <w:rPr>
          <w:rFonts w:cs="Calibri"/>
        </w:rPr>
        <w:instrText xml:space="preserve"> ADDIN ZOTERO_ITEM CSL_CITATION {"citationID":"A4gYND0s","properties":{"formattedCitation":"(Guske 2014)","plainCitation":"(Guske 2014)","dontUpdate":true,"noteIndex":0},"citationItems":[{"id":269,"uris":["http://zotero.org/users/14566843/items/MT4W4SQ8"],"itemData":{"id":269,"type":"book","abstract":"Politisch einflussreiche Evangelikale werden insbesondere in den USA verortet. Doch auch deutsche Evangelikale üben einen nicht zu unterschätzenden politischen Einfluss aus. Katja Guske analysiert detailliert politische Einstellungen, Aktivitäten und Handlungsstrategien der deutschen Evangelikalen. Die bisher in den Politikwissenschaften vernachlässigte Erforschung dieser wichtigen religiösen Gruppierung setzt sie ins Verhältnis zu den amerikanischen Evangelikalen und erweitert sie um eine religionskulturell vergleichende Perspektive. Die Autorin beantwortet auf der Basis zahlreicher Interviews mit deutschen Evangelikalen die Frage, ob es sich um eine fundamentalistische Bewegung handelt oder ob sie als Teil der Zivilgesellschaft an den friedlichen Aushandlungsprozessen der religiös pluralistischen und politisch säkularen deutschen Gesellschaft partizipiert. Der Inhalt Entwicklung und Ambivalenz der Säkularisierung Auswirkungen der Säkularisierung auf das Staat-Kirche-Verhältnis Die deutsche evangelikale Bewegung Deutsche Evangelikale und Politik Konfliktpunkte im Agieren der evangelikalen Bewegung Die Zielgruppen Dozierende und Studierende der Politik- und Religionswissenschaften Personen der politischen und religiösen Öffentlichkeit Die Autorin Katja Guske ist Sozialwissenschaftlerin an der Humboldt-Universität zu Berlin und Projektkoordinatorin des von der Haniel Stiftung geförderten interdisziplinären Forschungsbereichs „Program on Religion, Politics and Economics“","collection-title":"SpringerLink Bücher","event-place":"Wiesbaden","ISBN":"978-3-658-03846-5","language":"ger","note":"DOI: 10.1007/978-3-658-03847-2","number-of-pages":"247","publisher":"Springer VS","publisher-place":"Wiesbaden","source":"K10plus ISBN","title":"Zwischen Bibel und Grundgesetz: Die Religionspolitik der Evangelikalen in Deutschland","title-short":"Zwischen Bibel und Grundgesetz","author":[{"family":"Guske","given":"Katja"}],"issued":{"date-parts":[["2014"]]}}}],"schema":"https://github.com/citation-style-language/schema/raw/master/csl-citation.json"} </w:instrText>
      </w:r>
      <w:r w:rsidRPr="00496E39">
        <w:rPr>
          <w:rFonts w:cs="Calibri"/>
        </w:rPr>
        <w:fldChar w:fldCharType="separate"/>
      </w:r>
      <w:r w:rsidRPr="00496E39">
        <w:rPr>
          <w:rFonts w:cs="Calibri"/>
          <w:noProof/>
        </w:rPr>
        <w:t>(Guske 2014, 85)</w:t>
      </w:r>
      <w:r w:rsidRPr="00496E39">
        <w:rPr>
          <w:rFonts w:cs="Calibri"/>
        </w:rPr>
        <w:fldChar w:fldCharType="end"/>
      </w:r>
      <w:r w:rsidRPr="00496E39">
        <w:rPr>
          <w:rFonts w:cs="Calibri"/>
        </w:rPr>
        <w:t xml:space="preserve"> oder methodistisch ausgerichtet</w:t>
      </w:r>
      <w:r w:rsidRPr="008154FB">
        <w:rPr>
          <w:rFonts w:cs="Calibri"/>
        </w:rPr>
        <w:t xml:space="preserve"> </w:t>
      </w:r>
      <w:r w:rsidRPr="00496E39">
        <w:rPr>
          <w:rFonts w:cs="Calibri"/>
        </w:rPr>
        <w:t xml:space="preserve">sind. Detaillierte Merkmale von Glaubensausrichtung und Epistemologie in den verschiedenen Strömungen innerhalb der </w:t>
      </w:r>
      <w:proofErr w:type="gramStart"/>
      <w:r w:rsidRPr="00496E39">
        <w:rPr>
          <w:rFonts w:cs="Calibri"/>
        </w:rPr>
        <w:t>Aussiedler:innengemeinden</w:t>
      </w:r>
      <w:proofErr w:type="gramEnd"/>
      <w:r w:rsidRPr="00496E39">
        <w:rPr>
          <w:rFonts w:cs="Calibri"/>
        </w:rPr>
        <w:t xml:space="preserve"> können aufgrund der weiten Fächerung dieser kaum aufgezeichnet werden. Dennoch lassen sich grundlegende Gemeinsamkeiten feststellen, die Stefanie Theis wie folgt konstatiert und auf deren Grundlage sie zumindest teilweise in fundamentalistische Strukturen eingeordnet werden können. Demnach zeigt sich häufig ein Verständnis von Gott, das stark autoritär geprägt ist, verbunden mit strengen moralischen Normen, einer gemeinschaftsbezogenen Identität mit ausgeprägtem Wir-Gefühl und einer literalen Bibelauslegung sowie Vorstellungen einer nahenden endzeitlichen Apokalypse </w:t>
      </w:r>
      <w:r w:rsidRPr="00496E39">
        <w:rPr>
          <w:rFonts w:cs="Calibri"/>
        </w:rPr>
        <w:fldChar w:fldCharType="begin"/>
      </w:r>
      <w:r w:rsidRPr="00496E39">
        <w:rPr>
          <w:rFonts w:cs="Calibri"/>
        </w:rPr>
        <w:instrText xml:space="preserve"> ADDIN ZOTERO_ITEM CSL_CITATION {"citationID":"a29b5iu03vq","properties":{"formattedCitation":"\\uldash{(Theis 2006)}","plainCitation":"(Theis 2006)","dontUpdate":true,"noteIndex":0},"citationItems":[{"id":403,"uris":["http://zotero.org/users/14566843/items/DHZSXM77"],"itemData":{"id":403,"type":"book","abstract":"Seit Ende der 1980er Jahre und mit der Öffnung der Sowjetunion und ihrer Nachfolgestaaten sind die Ausreisezahlen der Russlanddeutschen sprunghaft angestiegen. Oft ist die Integration dieser Aussiedler in die BRD problematisch. In ihrem Herkunftsland haben sie eine heterogene Frömmigkeit gelebt. Kirchliche Strukturen fehlten. Weil Russlanddeutsche in ihrem Lebensstil und ihrer Religiosität \"anders\" wirken, sind Konflikte innerhalb und außerhalb von bundesdeutschen Kirchengemeinden vorprogrammiert. Für das Verständnis der \"fremden Deutschen\" und ihrer kulturellen Identität ist der Zusammenhang von Migration und Religion von besonderer Bedeutung. Durch die Verknüpfung religionswissenschaftlicher und sozialwissenschaftlich-empirischer Zugangsweisen wird die Religiosität der Russlanddeutschen in ihrer gegenwärtigen Gestalt sowie im Kontext der historischen und politischen Bedingungsfaktoren sichtbar","collection-number":"73","collection-title":"Praktische Theologie heute","event-place":"Stuttgart","ISBN":"978-3-17-018812-9","language":"ger","number-of-pages":"260","publisher":"Kohlhammer","publisher-place":"Stuttgart","source":"K10plus ISBN","title":"Religiosität von Russlanddeutschen","author":[{"family":"Theis","given":"Stefanie"}],"issued":{"date-parts":[["2006"]]}}}],"schema":"https://github.com/citation-style-language/schema/raw/master/csl-citation.json"} </w:instrText>
      </w:r>
      <w:r w:rsidRPr="00496E39">
        <w:rPr>
          <w:rFonts w:cs="Calibri"/>
        </w:rPr>
        <w:fldChar w:fldCharType="separate"/>
      </w:r>
      <w:r w:rsidRPr="00496E39">
        <w:rPr>
          <w:rFonts w:cs="Calibri"/>
        </w:rPr>
        <w:t>(Theis 2006,134-140)</w:t>
      </w:r>
      <w:r w:rsidRPr="00496E39">
        <w:rPr>
          <w:rFonts w:cs="Calibri"/>
        </w:rPr>
        <w:fldChar w:fldCharType="end"/>
      </w:r>
      <w:r w:rsidRPr="00496E39">
        <w:rPr>
          <w:rFonts w:cs="Calibri"/>
        </w:rPr>
        <w:t>.</w:t>
      </w:r>
    </w:p>
    <w:p w14:paraId="3520CD42" w14:textId="77777777" w:rsidR="00A768F4" w:rsidRPr="00496E39" w:rsidRDefault="00A768F4" w:rsidP="00A768F4">
      <w:pPr>
        <w:spacing w:line="276" w:lineRule="auto"/>
        <w:jc w:val="both"/>
        <w:rPr>
          <w:rFonts w:cs="Calibri"/>
        </w:rPr>
      </w:pPr>
      <w:r w:rsidRPr="00496E39">
        <w:rPr>
          <w:rFonts w:cs="Calibri"/>
        </w:rPr>
        <w:t xml:space="preserve">Der Zuzug dieser Gruppen seit Ende der 1980er Jahre hat die fundamentalistische Landschaft vor allem in Westdeutschland nachhaltig geprägt. Schätzungen </w:t>
      </w:r>
      <w:r>
        <w:rPr>
          <w:rFonts w:cs="Calibri"/>
        </w:rPr>
        <w:t>zufolge</w:t>
      </w:r>
      <w:r w:rsidRPr="00496E39">
        <w:rPr>
          <w:rFonts w:cs="Calibri"/>
        </w:rPr>
        <w:t xml:space="preserve"> ist ein erheblicher Teil, zwischen einem Fünftel und einem Viertel </w:t>
      </w:r>
      <w:r w:rsidRPr="00496E39">
        <w:rPr>
          <w:rFonts w:cs="Calibri"/>
        </w:rPr>
        <w:fldChar w:fldCharType="begin"/>
      </w:r>
      <w:r w:rsidRPr="00496E39">
        <w:rPr>
          <w:rFonts w:cs="Calibri"/>
        </w:rPr>
        <w:instrText xml:space="preserve"> ADDIN ZOTERO_ITEM CSL_CITATION {"citationID":"a20j1ha8h6v","properties":{"formattedCitation":"\\uldash{(Elwert 2015)}","plainCitation":"(Elwert 2015)","dontUpdate":true,"noteIndex":0},"citationItems":[{"id":383,"uris":["http://zotero.org/users/14566843/items/X4A4X7AJ"],"itemData":{"id":383,"type":"book","event-place":"Wiesbaden","ISBN":"978-3-658-10099-5","language":"de","license":"https://www.springernature.com/gp/researchers/text-and-data-mining","note":"DOI: 10.1007/978-3-658-10100-8","publisher":"Springer Fachmedien Wiesbaden","publisher-place":"Wiesbaden","source":"DOI.org (Crossref)","title":"Religion als Ressource und Restriktion im Integrationsprozess: Eine Fallstudie zu Biographien freikirchlicher Russlanddeutscher","title-short":"Religion als Ressource und Restriktion im Integrationsprozess","URL":"https://link.springer.com/10.1007/978-3-658-10100-8","author":[{"family":"Elwert","given":"Frederik"}],"accessed":{"date-parts":[["2025",11,11]]},"issued":{"date-parts":[["2015"]]}}}],"schema":"https://github.com/citation-style-language/schema/raw/master/csl-citation.json"} </w:instrText>
      </w:r>
      <w:r w:rsidRPr="00496E39">
        <w:rPr>
          <w:rFonts w:cs="Calibri"/>
        </w:rPr>
        <w:fldChar w:fldCharType="separate"/>
      </w:r>
      <w:r w:rsidRPr="00496E39">
        <w:rPr>
          <w:rFonts w:cs="Calibri"/>
        </w:rPr>
        <w:t>(Elwert 2015, 23-24)</w:t>
      </w:r>
      <w:r w:rsidRPr="00496E39">
        <w:rPr>
          <w:rFonts w:cs="Calibri"/>
        </w:rPr>
        <w:fldChar w:fldCharType="end"/>
      </w:r>
      <w:r>
        <w:rPr>
          <w:rFonts w:cs="Calibri"/>
        </w:rPr>
        <w:t>,</w:t>
      </w:r>
      <w:r w:rsidRPr="00496E39">
        <w:rPr>
          <w:rFonts w:cs="Calibri"/>
        </w:rPr>
        <w:t xml:space="preserve"> der </w:t>
      </w:r>
      <w:r>
        <w:rPr>
          <w:rFonts w:cs="Calibri"/>
        </w:rPr>
        <w:t>r</w:t>
      </w:r>
      <w:r w:rsidRPr="00496E39">
        <w:rPr>
          <w:rFonts w:cs="Calibri"/>
        </w:rPr>
        <w:t xml:space="preserve">usslanddeutschen Bevölkerung in freikirchlichen Strukturen verankert, wodurch diese Gruppe inzwischen einen wesentlichen Bestandteil der evangelikalen Szene in Deutschland ausmacht. Viele Gemeinden entstanden nach 1972 in der Region Ostwestfalen-Lippe, rund um Bonn sowie in Rheinland-Pfalz und Baden-Württemberg </w:t>
      </w:r>
      <w:r w:rsidRPr="00496E39">
        <w:rPr>
          <w:rFonts w:cs="Calibri"/>
        </w:rPr>
        <w:fldChar w:fldCharType="begin"/>
      </w:r>
      <w:r w:rsidRPr="00496E39">
        <w:rPr>
          <w:rFonts w:cs="Calibri"/>
        </w:rPr>
        <w:instrText xml:space="preserve"> ADDIN ZOTERO_ITEM CSL_CITATION {"citationID":"F5lBKHnZ","properties":{"formattedCitation":"(Kick und Hemminger 2020)","plainCitation":"(Kick und Hemminger 2020)","dontUpdate":true,"noteIndex":0},"citationItems":[{"id":238,"uris":["http://zotero.org/users/14566843/items/KZGUN6WU"],"itemData":{"id":238,"type":"report","number":"EZW-Texte 265","publisher":"Evangelische Zentralstelle für Weltanschauungsfragen","title":"Unabhängige Gemeinden neben Kirchen und Freikirchen","author":[{"family":"Kick","given":"Annette"},{"family":"Hemminger","given":"Hansjörg"}],"accessed":{"date-parts":[["2025",9,7]]},"issued":{"date-parts":[["2020"]]}}}],"schema":"https://github.com/citation-style-language/schema/raw/master/csl-citation.json"} </w:instrText>
      </w:r>
      <w:r w:rsidRPr="00496E39">
        <w:rPr>
          <w:rFonts w:cs="Calibri"/>
        </w:rPr>
        <w:fldChar w:fldCharType="separate"/>
      </w:r>
      <w:r w:rsidRPr="00496E39">
        <w:rPr>
          <w:rFonts w:cs="Calibri"/>
          <w:noProof/>
        </w:rPr>
        <w:t>(Kick und Hemminger 2020, 26)</w:t>
      </w:r>
      <w:r w:rsidRPr="00496E39">
        <w:rPr>
          <w:rFonts w:cs="Calibri"/>
        </w:rPr>
        <w:fldChar w:fldCharType="end"/>
      </w:r>
      <w:r w:rsidRPr="00496E39">
        <w:rPr>
          <w:rFonts w:cs="Calibri"/>
        </w:rPr>
        <w:t>. Nachdem die Gemeinden sich zunächst eher von evangelikalen Strukturen abgrenzten, lassen sich mittlerweile Anschlüsse an</w:t>
      </w:r>
      <w:r>
        <w:rPr>
          <w:rFonts w:cs="Calibri"/>
        </w:rPr>
        <w:t xml:space="preserve"> den</w:t>
      </w:r>
      <w:r w:rsidRPr="00496E39">
        <w:rPr>
          <w:rFonts w:cs="Calibri"/>
        </w:rPr>
        <w:t xml:space="preserve"> (internationalen) Evangelikalismus erkennen  </w:t>
      </w:r>
      <w:r w:rsidRPr="00496E39">
        <w:rPr>
          <w:rFonts w:cs="Calibri"/>
        </w:rPr>
        <w:fldChar w:fldCharType="begin"/>
      </w:r>
      <w:r w:rsidRPr="00496E39">
        <w:rPr>
          <w:rFonts w:cs="Calibri"/>
        </w:rPr>
        <w:instrText xml:space="preserve"> ADDIN ZOTERO_ITEM CSL_CITATION {"citationID":"S5fVKxlQ","properties":{"formattedCitation":"(Elwert und Radermacher 2017)","plainCitation":"(Elwert und Radermacher 2017)","dontUpdate":true,"noteIndex":0},"citationItems":[{"id":247,"uris":["http://zotero.org/users/14566843/items/V7WB3CSP"],"itemData":{"id":247,"type":"chapter","container-title":"Handbuch Evangelikalismus","publisher":"transcript Verlag","title":"Evangelikalismus in Europa","author":[{"family":"Elwert","given":"Frederik"},{"family":"Radermacher","given":"Martin"}],"issued":{"date-parts":[["2017"]]}}}],"schema":"https://github.com/citation-style-language/schema/raw/master/csl-citation.json"} </w:instrText>
      </w:r>
      <w:r w:rsidRPr="00496E39">
        <w:rPr>
          <w:rFonts w:cs="Calibri"/>
        </w:rPr>
        <w:fldChar w:fldCharType="separate"/>
      </w:r>
      <w:r w:rsidRPr="00496E39">
        <w:rPr>
          <w:rFonts w:cs="Calibri"/>
          <w:noProof/>
        </w:rPr>
        <w:t>(Elwert und Radermacher 2017, 181)</w:t>
      </w:r>
      <w:r w:rsidRPr="00496E39">
        <w:rPr>
          <w:rFonts w:cs="Calibri"/>
        </w:rPr>
        <w:fldChar w:fldCharType="end"/>
      </w:r>
      <w:r w:rsidRPr="00496E39">
        <w:rPr>
          <w:rFonts w:cs="Calibri"/>
        </w:rPr>
        <w:t>. In ihrer theologischen Ausrichtung zeigen viele dieser Gemeinden ein konservatives, teilweise fundamentalistisches Profil, das sich bewusst von liberaleren Tendenzen und einer modernen Lebensführung distanziert.</w:t>
      </w:r>
    </w:p>
    <w:p w14:paraId="466F3DDC" w14:textId="77777777" w:rsidR="00A768F4" w:rsidRDefault="00A768F4" w:rsidP="00A768F4">
      <w:pPr>
        <w:spacing w:line="276" w:lineRule="auto"/>
        <w:jc w:val="both"/>
        <w:rPr>
          <w:rFonts w:cs="Calibri"/>
        </w:rPr>
      </w:pPr>
      <w:r w:rsidRPr="007C1C73">
        <w:rPr>
          <w:rFonts w:cs="Calibri"/>
        </w:rPr>
        <w:t xml:space="preserve">Neben den klassischen Freikirchen und Migrationskirchen existiert in Deutschland eine weitere Gruppe freikirchlicher Gemeinschaften, die keiner übergeordneten Dachorganisation angehören und auch nicht primär von der </w:t>
      </w:r>
      <w:proofErr w:type="gramStart"/>
      <w:r w:rsidRPr="007C1C73">
        <w:rPr>
          <w:rFonts w:cs="Calibri"/>
        </w:rPr>
        <w:t>Aussiedler:innencommunity</w:t>
      </w:r>
      <w:proofErr w:type="gramEnd"/>
      <w:r w:rsidRPr="007C1C73">
        <w:rPr>
          <w:rFonts w:cs="Calibri"/>
        </w:rPr>
        <w:t xml:space="preserve"> geprägt sind. Viele dieser sogenannten</w:t>
      </w:r>
      <w:r>
        <w:rPr>
          <w:rFonts w:cs="Calibri"/>
        </w:rPr>
        <w:t xml:space="preserve"> </w:t>
      </w:r>
      <w:r w:rsidRPr="007C1C73">
        <w:rPr>
          <w:rFonts w:cs="Calibri"/>
        </w:rPr>
        <w:t xml:space="preserve">unabhängigen oder </w:t>
      </w:r>
      <w:r w:rsidRPr="002B0D1E">
        <w:rPr>
          <w:rFonts w:cs="Calibri"/>
        </w:rPr>
        <w:t>autonomen Gemeinden lassen sich thematisch den im nächsten Unterkapitel vertieften</w:t>
      </w:r>
      <w:r w:rsidRPr="007C1C73">
        <w:rPr>
          <w:rFonts w:cs="Calibri"/>
        </w:rPr>
        <w:t xml:space="preserve"> neucharismatischen und popkulturell geprägten Bewegungen zuordnen, etwa den sogenannten Lifestyle-Gemeinden. Dennoch existieren auch innerhalb dieses Spektrums etablierte Gemeinschaften mit langjähriger lokaler Verankerung, weshalb sie an dieser Stelle erwähnt werden müssen. Kennzeichnend für diese Gruppen ist das Fehlen institutioneller Anbindungen an größere Kirchenbünde. Daraus ergibt sich nicht nur eine hohe organisatorische Vielfalt, sondern auch eine große Bandbreite theologischer Ausrichtungen. Solche Gemeinden finden sich vor allem in westdeutschen Regionen mit evangelischer Tradition, etwa in Teilen Württembergs, Westfalens und Berlins. In den östlichen Bundesländern hingegen treten sie, ebenso wie klassische Freikirchen, eher vereinzelt bis </w:t>
      </w:r>
      <w:r>
        <w:rPr>
          <w:rFonts w:cs="Calibri"/>
        </w:rPr>
        <w:t xml:space="preserve">gar </w:t>
      </w:r>
      <w:r w:rsidRPr="007C1C73">
        <w:rPr>
          <w:rFonts w:cs="Calibri"/>
        </w:rPr>
        <w:t xml:space="preserve">nicht auf </w:t>
      </w:r>
      <w:r w:rsidRPr="00E268F7">
        <w:rPr>
          <w:rFonts w:cs="Calibri"/>
        </w:rPr>
        <w:fldChar w:fldCharType="begin"/>
      </w:r>
      <w:r>
        <w:rPr>
          <w:rFonts w:cs="Calibri"/>
        </w:rPr>
        <w:instrText xml:space="preserve"> ADDIN ZOTERO_ITEM CSL_CITATION {"citationID":"XQwAsLhj","properties":{"formattedCitation":"(Kick und Hemminger 2020)","plainCitation":"(Kick und Hemminger 2020)","dontUpdate":true,"noteIndex":0},"citationItems":[{"id":238,"uris":["http://zotero.org/users/14566843/items/KZGUN6WU"],"itemData":{"id":238,"type":"report","number":"EZW-Texte 265","publisher":"Evangelische Zentralstelle für Weltanschauungsfragen","title":"Unabhängige Gemeinden neben Kirchen und Freikirchen","author":[{"family":"Kick","given":"Annette"},{"family":"Hemminger","given":"Hansjörg"}],"accessed":{"date-parts":[["2025",9,7]]},"issued":{"date-parts":[["2020"]]}}}],"schema":"https://github.com/citation-style-language/schema/raw/master/csl-citation.json"} </w:instrText>
      </w:r>
      <w:r w:rsidRPr="00E268F7">
        <w:rPr>
          <w:rFonts w:cs="Calibri"/>
        </w:rPr>
        <w:fldChar w:fldCharType="separate"/>
      </w:r>
      <w:r w:rsidRPr="00E268F7">
        <w:rPr>
          <w:rFonts w:cs="Calibri"/>
          <w:noProof/>
        </w:rPr>
        <w:t>(Kick und Hemminger 2020, 8)</w:t>
      </w:r>
      <w:r w:rsidRPr="00E268F7">
        <w:rPr>
          <w:rFonts w:cs="Calibri"/>
        </w:rPr>
        <w:fldChar w:fldCharType="end"/>
      </w:r>
      <w:r w:rsidRPr="00E268F7">
        <w:rPr>
          <w:rFonts w:cs="Calibri"/>
        </w:rPr>
        <w:t>.</w:t>
      </w:r>
    </w:p>
    <w:p w14:paraId="34A4F571" w14:textId="77777777" w:rsidR="00A768F4" w:rsidRDefault="00A768F4" w:rsidP="00A768F4">
      <w:pPr>
        <w:rPr>
          <w:rFonts w:cs="Calibri"/>
        </w:rPr>
      </w:pPr>
      <w:r>
        <w:rPr>
          <w:rFonts w:cs="Calibri"/>
        </w:rPr>
        <w:br w:type="page"/>
      </w:r>
    </w:p>
    <w:p w14:paraId="3768C5B2" w14:textId="77777777" w:rsidR="00A768F4" w:rsidRPr="00AC0D88" w:rsidRDefault="00A768F4" w:rsidP="00386EBF">
      <w:pPr>
        <w:pStyle w:val="berschrift2"/>
        <w:numPr>
          <w:ilvl w:val="0"/>
          <w:numId w:val="0"/>
        </w:numPr>
        <w:spacing w:after="160"/>
        <w:ind w:left="576" w:hanging="576"/>
        <w:rPr>
          <w:rFonts w:asciiTheme="minorHAnsi" w:hAnsiTheme="minorHAnsi" w:cstheme="minorHAnsi"/>
          <w:color w:val="016D72"/>
          <w:sz w:val="26"/>
          <w:szCs w:val="26"/>
        </w:rPr>
      </w:pPr>
      <w:bookmarkStart w:id="86" w:name="_Toc215819943"/>
      <w:r w:rsidRPr="00AC0D88">
        <w:rPr>
          <w:rFonts w:asciiTheme="minorHAnsi" w:hAnsiTheme="minorHAnsi" w:cstheme="minorHAnsi"/>
          <w:color w:val="016D72"/>
          <w:sz w:val="26"/>
          <w:szCs w:val="26"/>
        </w:rPr>
        <w:lastRenderedPageBreak/>
        <w:t>5.2. Neue Bewegungen</w:t>
      </w:r>
      <w:bookmarkEnd w:id="86"/>
    </w:p>
    <w:p w14:paraId="497508BE" w14:textId="77777777" w:rsidR="00A768F4" w:rsidRPr="00496E39" w:rsidRDefault="00A768F4" w:rsidP="00A768F4">
      <w:pPr>
        <w:spacing w:line="276" w:lineRule="auto"/>
        <w:jc w:val="both"/>
        <w:rPr>
          <w:rFonts w:cs="Calibri"/>
        </w:rPr>
      </w:pPr>
      <w:r w:rsidRPr="007C1C73">
        <w:rPr>
          <w:rFonts w:cs="Calibri"/>
        </w:rPr>
        <w:t>Neben diesen zum Teil historisch gewachsenen und lokal etablierten Communit</w:t>
      </w:r>
      <w:r>
        <w:rPr>
          <w:rFonts w:cs="Calibri"/>
        </w:rPr>
        <w:t>y</w:t>
      </w:r>
      <w:r w:rsidRPr="007C1C73">
        <w:rPr>
          <w:rFonts w:cs="Calibri"/>
        </w:rPr>
        <w:t xml:space="preserve">s, bilden sich zunehmend unabhängige oder </w:t>
      </w:r>
      <w:r w:rsidRPr="00AA187E">
        <w:rPr>
          <w:rFonts w:cs="Calibri"/>
          <w:b/>
          <w:bCs/>
        </w:rPr>
        <w:t>autonome Gemeinden</w:t>
      </w:r>
      <w:r w:rsidRPr="007C1C73">
        <w:rPr>
          <w:rFonts w:cs="Calibri"/>
        </w:rPr>
        <w:t xml:space="preserve">, die auf Außenwirkung, digitale Präsenz und netzwerkartige Strukturen setzen. Dabei beeinflussen populärkulturell geprägte Formen des Evangelikalismus, wie bei den wohl bekanntesten Gemeinden </w:t>
      </w:r>
      <w:r w:rsidRPr="00F25817">
        <w:rPr>
          <w:rFonts w:cs="Calibri"/>
          <w:i/>
          <w:iCs/>
        </w:rPr>
        <w:t>Hillsong</w:t>
      </w:r>
      <w:r w:rsidRPr="007C1C73">
        <w:rPr>
          <w:rFonts w:cs="Calibri"/>
        </w:rPr>
        <w:t xml:space="preserve"> oder </w:t>
      </w:r>
      <w:r w:rsidRPr="00F25817">
        <w:rPr>
          <w:rFonts w:cs="Calibri"/>
          <w:i/>
          <w:iCs/>
        </w:rPr>
        <w:t>Vineyard</w:t>
      </w:r>
      <w:r w:rsidRPr="007C1C73">
        <w:rPr>
          <w:rFonts w:cs="Calibri"/>
        </w:rPr>
        <w:t xml:space="preserve">, zunehmend auch andere kirchliche Milieus und hinterlassen sichtbare Spuren bis in traditionelle Gemeinden </w:t>
      </w:r>
      <w:r w:rsidRPr="00AC0D63">
        <w:rPr>
          <w:rFonts w:cs="Calibri"/>
        </w:rPr>
        <w:t xml:space="preserve">hinein </w:t>
      </w:r>
      <w:r w:rsidRPr="00AC0D63">
        <w:rPr>
          <w:rFonts w:cs="Calibri"/>
        </w:rPr>
        <w:fldChar w:fldCharType="begin"/>
      </w:r>
      <w:r w:rsidRPr="00AC0D63">
        <w:rPr>
          <w:rFonts w:cs="Calibri"/>
        </w:rPr>
        <w:instrText xml:space="preserve"> ADDIN ZOTERO_ITEM CSL_CITATION {"citationID":"a1381feh878","properties":{"formattedCitation":"\\uldash{(Simpson 2011)}","plainCitation":"(Simpson 2011)","dontUpdate":true,"noteIndex":0},"citationItems":[{"id":394,"uris":["http://zotero.org/users/14566843/items/G6DI63ME"],"itemData":{"id":394,"type":"chapter","container-title":"European Pentecostalism and Charismatic Studies","event-place":"Leiden, Boston","ISBN":"ISBN 978-90-04-20730-1","page":"61-83","publisher":"Brill","publisher-place":"Leiden, Boston","title":"The Development of the Pentacostal and Charismatic Movements in the Germanic Countries","author":[{"family":"Simpson","given":"Carl"}],"editor":[{"family":"Davies","given":"Andrew"},{"family":"Kay","given":"William K."}],"issued":{"date-parts":[["2011"]]}}}],"schema":"https://github.com/citation-style-language/schema/raw/master/csl-citation.json"} </w:instrText>
      </w:r>
      <w:r w:rsidRPr="00AC0D63">
        <w:rPr>
          <w:rFonts w:cs="Calibri"/>
        </w:rPr>
        <w:fldChar w:fldCharType="separate"/>
      </w:r>
      <w:r w:rsidRPr="000265E0">
        <w:rPr>
          <w:rFonts w:cs="Calibri"/>
        </w:rPr>
        <w:t>(Simpson 2011, 82)</w:t>
      </w:r>
      <w:r w:rsidRPr="00AC0D63">
        <w:rPr>
          <w:rFonts w:cs="Calibri"/>
        </w:rPr>
        <w:fldChar w:fldCharType="end"/>
      </w:r>
      <w:r w:rsidRPr="0001035C">
        <w:rPr>
          <w:rFonts w:cs="Calibri"/>
          <w:highlight w:val="yellow"/>
        </w:rPr>
        <w:fldChar w:fldCharType="begin"/>
      </w:r>
      <w:r w:rsidRPr="0001035C">
        <w:rPr>
          <w:rFonts w:cs="Calibri"/>
          <w:highlight w:val="yellow"/>
        </w:rPr>
        <w:instrText xml:space="preserve"> ADDIN ZOTERO_ITEM CSL_CITATION {"citationID":"O4W0N3rd","properties":{"formattedCitation":"(Kay &amp; Dyer, 2011)","plainCitation":"(Kay &amp; Dyer, 2011)","dontUpdate":true,"noteIndex":0},"citationItems":[{"id":249,"uris":["http://zotero.org/users/14566843/items/C6I7CC68"],"itemData":{"id":249,"type":"book","collection-number":"Volume 7","collection-title":"Global pentecostal and charismatic studies","event-place":"Boston","ISBN":"978-90-04-20730-1","language":"eng","publisher":"Brill","publisher-place":"Boston","source":"BnF ISBN","title":"European Pentecostalism","author":[{"family":"Kay","given":"William K."},{"family":"Dyer","given":"Ann E."}],"issued":{"date-parts":[["2011"]]}}}],"schema":"https://github.com/citation-style-language/schema/raw/master/csl-citation.json"} </w:instrText>
      </w:r>
      <w:r w:rsidRPr="0001035C">
        <w:rPr>
          <w:rFonts w:cs="Calibri"/>
          <w:highlight w:val="yellow"/>
        </w:rPr>
        <w:fldChar w:fldCharType="separate"/>
      </w:r>
      <w:r w:rsidRPr="0001035C">
        <w:rPr>
          <w:rFonts w:cs="Calibri"/>
          <w:highlight w:val="yellow"/>
        </w:rPr>
        <w:fldChar w:fldCharType="end"/>
      </w:r>
      <w:r>
        <w:rPr>
          <w:rFonts w:cs="Calibri"/>
        </w:rPr>
        <w:t>.</w:t>
      </w:r>
      <w:r w:rsidRPr="007C1C73">
        <w:rPr>
          <w:rFonts w:cs="Calibri"/>
        </w:rPr>
        <w:t xml:space="preserve"> Diese neuen </w:t>
      </w:r>
      <w:r w:rsidRPr="00496E39">
        <w:rPr>
          <w:rFonts w:cs="Calibri"/>
        </w:rPr>
        <w:t xml:space="preserve">religiösen Ausdrucksformen lassen sich jedoch </w:t>
      </w:r>
      <w:r>
        <w:rPr>
          <w:rFonts w:cs="Calibri"/>
        </w:rPr>
        <w:t>nicht</w:t>
      </w:r>
      <w:r w:rsidRPr="00496E39">
        <w:rPr>
          <w:rFonts w:cs="Calibri"/>
        </w:rPr>
        <w:t xml:space="preserve"> eindeutig bestehenden Konfessionen oder Strukturen zuordnen. Sie überschreiten vertraute institutionelle Grenzen um eigene, oft hybride Formen religiöser Gemeinschaft zu etablieren </w:t>
      </w:r>
      <w:r w:rsidRPr="00496E39">
        <w:rPr>
          <w:rFonts w:cs="Calibri"/>
        </w:rPr>
        <w:fldChar w:fldCharType="begin"/>
      </w:r>
      <w:r w:rsidRPr="00496E39">
        <w:rPr>
          <w:rFonts w:cs="Calibri"/>
        </w:rPr>
        <w:instrText xml:space="preserve"> ADDIN ZOTERO_ITEM CSL_CITATION {"citationID":"LnE1zA4G","properties":{"formattedCitation":"(Hinsenkamp, 2025)","plainCitation":"(Hinsenkamp, 2025)","dontUpdate":true,"noteIndex":0},"citationItems":[{"id":196,"uris":["http://zotero.org/users/local/Q410LiLN/items/RDT379A3","http://zotero.org/users/14566843/items/RDT379A3"],"itemData":{"id":196,"type":"book","abstract":"Die deutschsprachigen und internationalen pfingstlich-charismatischen Bewegungen stehen für eine Transformation von Christentum und Gesellschaft. Maria Hinsenkamp deckt die expandierenden transkonfessionellen Vernetzungen auf, die über das Politische und Kulturelle bis in die Unterhaltungsindustrie hineinreichen. Den Strukturen der »Kingdom-minded Network Christianity« ist ein profiliertes theologisch-weltanschauliches Konzept gemein: Es wird ein bestimmtes Reich-Gottes-Verständnis postuliert, dessen Ziel die Herrschaft Gottes in allen individuellen und gesellschaftlichen Lebensbereichen ist. Eine Auseinandersetzung mit den neuen Entwicklungen ist nicht nur aus klassisch ökumenischer, sondern auch aus gesamtgesellschaftlicher Perspektive hoch relevant","collection-number":"4","collection-title":"Religion in Bewegung | Religion in Motion","event-place":"Bielefeld","ISBN":"978-3-8394-7252-1","language":"ger","note":"DOI: 10.1515/9783839472521","number-of-pages":"1","publisher":"transcript Verlag","publisher-place":"Bielefeld","source":"K10plus ISBN","title":"Visionen eines neuen Christentums: Neuere Entwicklungen pfingstlich-charismatischer Netzwerke","title-short":"Visionen eines neuen Christentums","author":[{"family":"Hinsenkamp","given":"Maria"}],"issued":{"date-parts":[["2025"]]}}}],"schema":"https://github.com/citation-style-language/schema/raw/master/csl-citation.json"} </w:instrText>
      </w:r>
      <w:r w:rsidRPr="00496E39">
        <w:rPr>
          <w:rFonts w:cs="Calibri"/>
        </w:rPr>
        <w:fldChar w:fldCharType="separate"/>
      </w:r>
      <w:r w:rsidRPr="00496E39">
        <w:rPr>
          <w:rFonts w:cs="Calibri"/>
          <w:noProof/>
        </w:rPr>
        <w:t>(Hinsenkamp 2025, 18)</w:t>
      </w:r>
      <w:r w:rsidRPr="00496E39">
        <w:rPr>
          <w:rFonts w:cs="Calibri"/>
        </w:rPr>
        <w:fldChar w:fldCharType="end"/>
      </w:r>
      <w:r w:rsidRPr="00496E39">
        <w:rPr>
          <w:rFonts w:cs="Calibri"/>
        </w:rPr>
        <w:t xml:space="preserve">. </w:t>
      </w:r>
    </w:p>
    <w:p w14:paraId="29DD3B04" w14:textId="77777777" w:rsidR="00A768F4" w:rsidRDefault="00A768F4" w:rsidP="00A768F4">
      <w:pPr>
        <w:spacing w:line="276" w:lineRule="auto"/>
        <w:jc w:val="both"/>
        <w:rPr>
          <w:rFonts w:cs="Calibri"/>
          <w:color w:val="000000"/>
        </w:rPr>
      </w:pPr>
      <w:r w:rsidRPr="00496E39">
        <w:rPr>
          <w:rFonts w:cs="Calibri"/>
          <w:color w:val="000000"/>
        </w:rPr>
        <w:t>Im Zuge dieser Transformation haben auch neucharismatische Gruppen</w:t>
      </w:r>
      <w:r>
        <w:rPr>
          <w:rFonts w:cs="Calibri"/>
          <w:color w:val="000000"/>
        </w:rPr>
        <w:t xml:space="preserve"> d</w:t>
      </w:r>
      <w:r w:rsidRPr="00496E39">
        <w:rPr>
          <w:rFonts w:cs="Calibri"/>
          <w:color w:val="000000"/>
        </w:rPr>
        <w:t>urch eine unter anderem stark musische Fokussierung, Großveranstaltungen und informelle Netzwerke</w:t>
      </w:r>
      <w:r w:rsidRPr="00E53388">
        <w:rPr>
          <w:rFonts w:cs="Calibri"/>
          <w:color w:val="000000"/>
        </w:rPr>
        <w:t xml:space="preserve"> </w:t>
      </w:r>
      <w:r w:rsidRPr="00496E39">
        <w:rPr>
          <w:rFonts w:cs="Calibri"/>
          <w:color w:val="000000"/>
        </w:rPr>
        <w:t xml:space="preserve">an Einfluss gewonnen. Diese Synergien haben in Deutschland Entwicklungen begünstigt </w:t>
      </w:r>
      <w:r w:rsidRPr="00496E39">
        <w:rPr>
          <w:rFonts w:cs="Calibri"/>
          <w:color w:val="000000"/>
        </w:rPr>
        <w:fldChar w:fldCharType="begin"/>
      </w:r>
      <w:r w:rsidRPr="00496E39">
        <w:rPr>
          <w:rFonts w:cs="Calibri"/>
          <w:color w:val="000000"/>
        </w:rPr>
        <w:instrText xml:space="preserve"> ADDIN ZOTERO_ITEM CSL_CITATION {"citationID":"0j5ws3JO","properties":{"formattedCitation":"(Hinsenkamp, 2025)","plainCitation":"(Hinsenkamp, 2025)","dontUpdate":true,"noteIndex":0},"citationItems":[{"id":196,"uris":["http://zotero.org/users/local/Q410LiLN/items/RDT379A3","http://zotero.org/users/14566843/items/RDT379A3"],"itemData":{"id":196,"type":"book","abstract":"Die deutschsprachigen und internationalen pfingstlich-charismatischen Bewegungen stehen für eine Transformation von Christentum und Gesellschaft. Maria Hinsenkamp deckt die expandierenden transkonfessionellen Vernetzungen auf, die über das Politische und Kulturelle bis in die Unterhaltungsindustrie hineinreichen. Den Strukturen der »Kingdom-minded Network Christianity« ist ein profiliertes theologisch-weltanschauliches Konzept gemein: Es wird ein bestimmtes Reich-Gottes-Verständnis postuliert, dessen Ziel die Herrschaft Gottes in allen individuellen und gesellschaftlichen Lebensbereichen ist. Eine Auseinandersetzung mit den neuen Entwicklungen ist nicht nur aus klassisch ökumenischer, sondern auch aus gesamtgesellschaftlicher Perspektive hoch relevant","collection-number":"4","collection-title":"Religion in Bewegung | Religion in Motion","event-place":"Bielefeld","ISBN":"978-3-8394-7252-1","language":"ger","note":"DOI: 10.1515/9783839472521","number-of-pages":"1","publisher":"transcript Verlag","publisher-place":"Bielefeld","source":"K10plus ISBN","title":"Visionen eines neuen Christentums: Neuere Entwicklungen pfingstlich-charismatischer Netzwerke","title-short":"Visionen eines neuen Christentums","author":[{"family":"Hinsenkamp","given":"Maria"}],"issued":{"date-parts":[["2025"]]}}}],"schema":"https://github.com/citation-style-language/schema/raw/master/csl-citation.json"} </w:instrText>
      </w:r>
      <w:r w:rsidRPr="00496E39">
        <w:rPr>
          <w:rFonts w:cs="Calibri"/>
          <w:color w:val="000000"/>
        </w:rPr>
        <w:fldChar w:fldCharType="separate"/>
      </w:r>
      <w:r w:rsidRPr="00496E39">
        <w:rPr>
          <w:rFonts w:cs="Calibri"/>
          <w:noProof/>
          <w:color w:val="000000"/>
        </w:rPr>
        <w:t>(Hinsenkamp 2025, 425)</w:t>
      </w:r>
      <w:r w:rsidRPr="00496E39">
        <w:rPr>
          <w:rFonts w:cs="Calibri"/>
          <w:color w:val="000000"/>
        </w:rPr>
        <w:fldChar w:fldCharType="end"/>
      </w:r>
      <w:r w:rsidRPr="00496E39">
        <w:rPr>
          <w:rFonts w:cs="Calibri"/>
          <w:color w:val="000000"/>
        </w:rPr>
        <w:t>, die international u.</w:t>
      </w:r>
      <w:r>
        <w:rPr>
          <w:rFonts w:cs="Calibri"/>
          <w:color w:val="000000"/>
        </w:rPr>
        <w:t xml:space="preserve"> </w:t>
      </w:r>
      <w:r w:rsidRPr="00496E39">
        <w:rPr>
          <w:rFonts w:cs="Calibri"/>
          <w:color w:val="000000"/>
        </w:rPr>
        <w:t>a. im US-amerikanischen Kontext schon länger beobachtet werden k</w:t>
      </w:r>
      <w:r>
        <w:rPr>
          <w:rFonts w:cs="Calibri"/>
          <w:color w:val="000000"/>
        </w:rPr>
        <w:t>önnen</w:t>
      </w:r>
      <w:r w:rsidRPr="00496E39">
        <w:rPr>
          <w:rFonts w:cs="Calibri"/>
          <w:color w:val="000000"/>
        </w:rPr>
        <w:t xml:space="preserve">. Eine emotionale, erfahrungsorientierte Glaubenspraxis, verbunden mit einem meist wörtlichen Bibelverständnis und einem klaren Dualismus: Die Welt als Ort geistlicher Auseinandersetzung zwischen </w:t>
      </w:r>
      <w:r w:rsidRPr="00496E39">
        <w:rPr>
          <w:rFonts w:cs="Calibri"/>
          <w:i/>
          <w:iCs/>
          <w:color w:val="000000"/>
        </w:rPr>
        <w:t>Gut</w:t>
      </w:r>
      <w:r w:rsidRPr="00496E39">
        <w:rPr>
          <w:rFonts w:cs="Calibri"/>
          <w:color w:val="000000"/>
        </w:rPr>
        <w:t xml:space="preserve"> und </w:t>
      </w:r>
      <w:r w:rsidRPr="00496E39">
        <w:rPr>
          <w:rFonts w:cs="Calibri"/>
          <w:i/>
          <w:iCs/>
          <w:color w:val="000000"/>
        </w:rPr>
        <w:t>Böse</w:t>
      </w:r>
      <w:r w:rsidRPr="00496E39">
        <w:rPr>
          <w:rFonts w:cs="Calibri"/>
          <w:color w:val="000000"/>
        </w:rPr>
        <w:t xml:space="preserve"> </w:t>
      </w:r>
      <w:r>
        <w:rPr>
          <w:rFonts w:cs="Calibri"/>
          <w:color w:val="000000"/>
        </w:rPr>
        <w:t>er</w:t>
      </w:r>
      <w:r w:rsidRPr="00496E39">
        <w:rPr>
          <w:rFonts w:cs="Calibri"/>
          <w:color w:val="000000"/>
        </w:rPr>
        <w:t>scheint dabei als zentraler Ankerpunkt. Missionierung wird als Teil des geistlichen Kampfes erkannt. Bewegungen wie</w:t>
      </w:r>
      <w:r w:rsidRPr="00496E39">
        <w:rPr>
          <w:rStyle w:val="apple-converted-space"/>
          <w:rFonts w:cs="Calibri"/>
          <w:color w:val="000000"/>
        </w:rPr>
        <w:t> </w:t>
      </w:r>
      <w:r w:rsidRPr="00496E39">
        <w:rPr>
          <w:rStyle w:val="Hervorhebung"/>
          <w:rFonts w:cs="Calibri"/>
          <w:color w:val="000000"/>
        </w:rPr>
        <w:t>Jugend mit einer Mission</w:t>
      </w:r>
      <w:r w:rsidRPr="00496E39">
        <w:rPr>
          <w:rStyle w:val="apple-converted-space"/>
          <w:rFonts w:cs="Calibri"/>
          <w:color w:val="000000"/>
        </w:rPr>
        <w:t> </w:t>
      </w:r>
      <w:r w:rsidRPr="00496E39">
        <w:rPr>
          <w:rStyle w:val="apple-converted-space"/>
          <w:rFonts w:cs="Calibri"/>
          <w:color w:val="000000"/>
        </w:rPr>
        <w:fldChar w:fldCharType="begin"/>
      </w:r>
      <w:r w:rsidRPr="00496E39">
        <w:rPr>
          <w:rStyle w:val="apple-converted-space"/>
          <w:rFonts w:cs="Calibri"/>
          <w:color w:val="000000"/>
        </w:rPr>
        <w:instrText xml:space="preserve"> ADDIN ZOTERO_ITEM CSL_CITATION {"citationID":"a6h95rsg69","properties":{"formattedCitation":"\\uldash{({\\i{}Youth with a Mission - Germany}, o.\\uc0\\u160{}J.)}","plainCitation":"(Youth with a Mission - Germany, o. J.)","dontUpdate":true,"noteIndex":0},"citationItems":[{"id":413,"uris":["http://zotero.org/users/14566843/items/MIW8G2J4"],"itemData":{"id":413,"type":"post-weblog","title":"Youth with a Mission - Germany","URL":"www.ywam.org","accessed":{"date-parts":[["2025",10,11]]}}}],"schema":"https://github.com/citation-style-language/schema/raw/master/csl-citation.json"} </w:instrText>
      </w:r>
      <w:r w:rsidRPr="00496E39">
        <w:rPr>
          <w:rStyle w:val="apple-converted-space"/>
          <w:rFonts w:cs="Calibri"/>
          <w:color w:val="000000"/>
        </w:rPr>
        <w:fldChar w:fldCharType="separate"/>
      </w:r>
      <w:r w:rsidRPr="00496E39">
        <w:rPr>
          <w:rFonts w:cs="Calibri"/>
          <w:color w:val="000000"/>
        </w:rPr>
        <w:t>(YWAM/</w:t>
      </w:r>
      <w:r w:rsidRPr="00496E39">
        <w:rPr>
          <w:rStyle w:val="apple-converted-space"/>
          <w:rFonts w:cs="Calibri"/>
          <w:color w:val="000000"/>
        </w:rPr>
        <w:fldChar w:fldCharType="end"/>
      </w:r>
      <w:r w:rsidRPr="00496E39">
        <w:rPr>
          <w:rFonts w:cs="Calibri"/>
          <w:color w:val="000000"/>
        </w:rPr>
        <w:t>JMEM)</w:t>
      </w:r>
      <w:r w:rsidRPr="00496E39">
        <w:rPr>
          <w:rStyle w:val="Funotenzeichen"/>
          <w:rFonts w:cs="Calibri"/>
          <w:color w:val="000000"/>
        </w:rPr>
        <w:footnoteReference w:id="41"/>
      </w:r>
      <w:r w:rsidRPr="00496E39">
        <w:rPr>
          <w:rFonts w:cs="Calibri"/>
          <w:color w:val="000000"/>
        </w:rPr>
        <w:t xml:space="preserve"> verkörpern diese Ausrichtung exemplarisch. Ihr Ziel ist nicht mehr nur die Weitergabe des Glaubens innerhalb der eigenen Gemeinschaft, sondern die Missionsarbeit und damit Bekehrung von Menschen außerhalb dieser bekannten Kreise </w:t>
      </w:r>
      <w:r w:rsidRPr="00496E39">
        <w:rPr>
          <w:rFonts w:cs="Calibri"/>
          <w:color w:val="000000"/>
        </w:rPr>
        <w:fldChar w:fldCharType="begin"/>
      </w:r>
      <w:r w:rsidRPr="00496E39">
        <w:rPr>
          <w:rFonts w:cs="Calibri"/>
          <w:color w:val="000000"/>
        </w:rPr>
        <w:instrText xml:space="preserve"> ADDIN ZOTERO_ITEM CSL_CITATION {"citationID":"hbSZ098D","properties":{"formattedCitation":"(Hinsenkamp, 2025)","plainCitation":"(Hinsenkamp, 2025)","dontUpdate":true,"noteIndex":0},"citationItems":[{"id":196,"uris":["http://zotero.org/users/local/Q410LiLN/items/RDT379A3","http://zotero.org/users/14566843/items/RDT379A3"],"itemData":{"id":196,"type":"book","abstract":"Die deutschsprachigen und internationalen pfingstlich-charismatischen Bewegungen stehen für eine Transformation von Christentum und Gesellschaft. Maria Hinsenkamp deckt die expandierenden transkonfessionellen Vernetzungen auf, die über das Politische und Kulturelle bis in die Unterhaltungsindustrie hineinreichen. Den Strukturen der »Kingdom-minded Network Christianity« ist ein profiliertes theologisch-weltanschauliches Konzept gemein: Es wird ein bestimmtes Reich-Gottes-Verständnis postuliert, dessen Ziel die Herrschaft Gottes in allen individuellen und gesellschaftlichen Lebensbereichen ist. Eine Auseinandersetzung mit den neuen Entwicklungen ist nicht nur aus klassisch ökumenischer, sondern auch aus gesamtgesellschaftlicher Perspektive hoch relevant","collection-number":"4","collection-title":"Religion in Bewegung | Religion in Motion","event-place":"Bielefeld","ISBN":"978-3-8394-7252-1","language":"ger","note":"DOI: 10.1515/9783839472521","number-of-pages":"1","publisher":"transcript Verlag","publisher-place":"Bielefeld","source":"K10plus ISBN","title":"Visionen eines neuen Christentums: Neuere Entwicklungen pfingstlich-charismatischer Netzwerke","title-short":"Visionen eines neuen Christentums","author":[{"family":"Hinsenkamp","given":"Maria"}],"issued":{"date-parts":[["2025"]]}}}],"schema":"https://github.com/citation-style-language/schema/raw/master/csl-citation.json"} </w:instrText>
      </w:r>
      <w:r w:rsidRPr="00496E39">
        <w:rPr>
          <w:rFonts w:cs="Calibri"/>
          <w:color w:val="000000"/>
        </w:rPr>
        <w:fldChar w:fldCharType="separate"/>
      </w:r>
      <w:r w:rsidRPr="00496E39">
        <w:rPr>
          <w:rFonts w:cs="Calibri"/>
          <w:noProof/>
          <w:color w:val="000000"/>
        </w:rPr>
        <w:t>(Hinsenkamp 2025, 353)</w:t>
      </w:r>
      <w:r w:rsidRPr="00496E39">
        <w:rPr>
          <w:rFonts w:cs="Calibri"/>
          <w:color w:val="000000"/>
        </w:rPr>
        <w:fldChar w:fldCharType="end"/>
      </w:r>
      <w:r w:rsidRPr="00496E39">
        <w:rPr>
          <w:rFonts w:cs="Calibri"/>
          <w:color w:val="000000"/>
        </w:rPr>
        <w:t xml:space="preserve">. </w:t>
      </w:r>
    </w:p>
    <w:p w14:paraId="272DC1B3" w14:textId="77777777" w:rsidR="00A768F4" w:rsidRPr="00496E39" w:rsidRDefault="00A768F4" w:rsidP="00A768F4">
      <w:pPr>
        <w:spacing w:line="276" w:lineRule="auto"/>
        <w:jc w:val="both"/>
        <w:rPr>
          <w:rFonts w:cs="Calibri"/>
          <w:color w:val="000000"/>
        </w:rPr>
      </w:pPr>
      <w:r w:rsidRPr="00496E39">
        <w:rPr>
          <w:rFonts w:cs="Calibri"/>
          <w:b/>
          <w:bCs/>
        </w:rPr>
        <w:t xml:space="preserve">Lifestyle- und </w:t>
      </w:r>
      <w:r>
        <w:rPr>
          <w:rFonts w:cs="Calibri"/>
          <w:b/>
          <w:bCs/>
        </w:rPr>
        <w:t>p</w:t>
      </w:r>
      <w:r w:rsidRPr="00496E39">
        <w:rPr>
          <w:rFonts w:cs="Calibri"/>
          <w:b/>
          <w:bCs/>
        </w:rPr>
        <w:t>opkulturellorientierte Gemeinden</w:t>
      </w:r>
      <w:r w:rsidRPr="00496E39">
        <w:rPr>
          <w:rFonts w:cs="Calibri"/>
        </w:rPr>
        <w:t xml:space="preserve"> bemühen sich, Anschlussfähigkeit an moderne Lebenswelten und populärkulturelle Ausdrucksformen zu erlangen und gehen dabei teilweise bewusst in Abgrenzung zu etablierten Kirchenstrukturen, insbesondere zu Volkskirchen, die als zu angepasst wahrgenommen werden. Allgemein zeichnet sich die Mehrheit der autonomen Gemeinden durch innovative Angebote aus, die oft auf die jüngere Generation und auf Familien mit Kindern zugeschnitten sind. Maria Hinsenkamp zeigt in ihrer Analyse, wie sich diese Gruppen vermehrt jenseits traditioneller kirchlicher Strukturen organisieren. Auffällig ist die lose, netzwerkbasierte Struktur dieser Gruppen, verbunden mit einer stark gefühlsbetonten Inszenierung religiöser Botschaften und dem Versuch, ein evangelikales Glaubensmodell mit zeitgemäßen Lebenserfahrungen in Einklang zu bringen </w:t>
      </w:r>
      <w:r w:rsidRPr="00496E39">
        <w:rPr>
          <w:rFonts w:cs="Calibri"/>
        </w:rPr>
        <w:fldChar w:fldCharType="begin"/>
      </w:r>
      <w:r w:rsidRPr="00496E39">
        <w:rPr>
          <w:rFonts w:cs="Calibri"/>
        </w:rPr>
        <w:instrText xml:space="preserve"> ADDIN ZOTERO_ITEM CSL_CITATION {"citationID":"1BTGNIJg","properties":{"formattedCitation":"(Hinsenkamp 2025)","plainCitation":"(Hinsenkamp 2025)","dontUpdate":true,"noteIndex":0},"citationItems":[{"id":196,"uris":["http://zotero.org/users/local/Q410LiLN/items/RDT379A3","http://zotero.org/users/14566843/items/RDT379A3"],"itemData":{"id":196,"type":"book","abstract":"Die deutschsprachigen und internationalen pfingstlich-charismatischen Bewegungen stehen für eine Transformation von Christentum und Gesellschaft. Maria Hinsenkamp deckt die expandierenden transkonfessionellen Vernetzungen auf, die über das Politische und Kulturelle bis in die Unterhaltungsindustrie hineinreichen. Den Strukturen der »Kingdom-minded Network Christianity« ist ein profiliertes theologisch-weltanschauliches Konzept gemein: Es wird ein bestimmtes Reich-Gottes-Verständnis postuliert, dessen Ziel die Herrschaft Gottes in allen individuellen und gesellschaftlichen Lebensbereichen ist. Eine Auseinandersetzung mit den neuen Entwicklungen ist nicht nur aus klassisch ökumenischer, sondern auch aus gesamtgesellschaftlicher Perspektive hoch relevant","collection-number":"4","collection-title":"Religion in Bewegung | Religion in Motion","event-place":"Bielefeld","ISBN":"978-3-8394-7252-1","language":"ger","note":"DOI: 10.1515/9783839472521","number-of-pages":"1","publisher":"transcript Verlag","publisher-place":"Bielefeld","source":"K10plus ISBN","title":"Visionen eines neuen Christentums: Neuere Entwicklungen pfingstlich-charismatischer Netzwerke","title-short":"Visionen eines neuen Christentums","author":[{"family":"Hinsenkamp","given":"Maria"}],"issued":{"date-parts":[["2025"]]}}}],"schema":"https://github.com/citation-style-language/schema/raw/master/csl-citation.json"} </w:instrText>
      </w:r>
      <w:r w:rsidRPr="00496E39">
        <w:rPr>
          <w:rFonts w:cs="Calibri"/>
        </w:rPr>
        <w:fldChar w:fldCharType="separate"/>
      </w:r>
      <w:r w:rsidRPr="00496E39">
        <w:rPr>
          <w:rFonts w:cs="Calibri"/>
          <w:noProof/>
        </w:rPr>
        <w:t>(Hinsenkamp 2025, 211-215;</w:t>
      </w:r>
      <w:r w:rsidRPr="00496E39">
        <w:rPr>
          <w:rFonts w:cs="Calibri"/>
        </w:rPr>
        <w:fldChar w:fldCharType="end"/>
      </w:r>
      <w:r w:rsidRPr="00496E39">
        <w:rPr>
          <w:rFonts w:cs="Calibri"/>
        </w:rPr>
        <w:t xml:space="preserve"> </w:t>
      </w:r>
      <w:r w:rsidRPr="00496E39">
        <w:rPr>
          <w:rFonts w:cs="Calibri"/>
        </w:rPr>
        <w:fldChar w:fldCharType="begin"/>
      </w:r>
      <w:r w:rsidRPr="00496E39">
        <w:rPr>
          <w:rFonts w:cs="Calibri"/>
        </w:rPr>
        <w:instrText xml:space="preserve"> ADDIN ZOTERO_ITEM CSL_CITATION {"citationID":"KwX5zdN2","properties":{"formattedCitation":"(Kick und Hemminger 2020)","plainCitation":"(Kick und Hemminger 2020)","dontUpdate":true,"noteIndex":0},"citationItems":[{"id":238,"uris":["http://zotero.org/users/14566843/items/KZGUN6WU"],"itemData":{"id":238,"type":"report","number":"EZW-Texte 265","publisher":"Evangelische Zentralstelle für Weltanschauungsfragen","title":"Unabhängige Gemeinden neben Kirchen und Freikirchen","author":[{"family":"Kick","given":"Annette"},{"family":"Hemminger","given":"Hansjörg"}],"accessed":{"date-parts":[["2025",9,7]]},"issued":{"date-parts":[["2020"]]}}}],"schema":"https://github.com/citation-style-language/schema/raw/master/csl-citation.json"} </w:instrText>
      </w:r>
      <w:r w:rsidRPr="00496E39">
        <w:rPr>
          <w:rFonts w:cs="Calibri"/>
        </w:rPr>
        <w:fldChar w:fldCharType="separate"/>
      </w:r>
      <w:r w:rsidRPr="00496E39">
        <w:rPr>
          <w:rFonts w:cs="Calibri"/>
          <w:noProof/>
        </w:rPr>
        <w:t>Kick und Hemminger 2020, 20)</w:t>
      </w:r>
      <w:r w:rsidRPr="00496E39">
        <w:rPr>
          <w:rFonts w:cs="Calibri"/>
        </w:rPr>
        <w:fldChar w:fldCharType="end"/>
      </w:r>
      <w:r w:rsidRPr="00496E39">
        <w:rPr>
          <w:rFonts w:cs="Calibri"/>
        </w:rPr>
        <w:t>. Zu den bekanntesten Beispielen zählt das </w:t>
      </w:r>
      <w:r w:rsidRPr="00496E39">
        <w:rPr>
          <w:rFonts w:cs="Calibri"/>
          <w:i/>
          <w:iCs/>
        </w:rPr>
        <w:t>International Christian Fellowship</w:t>
      </w:r>
      <w:r w:rsidRPr="00496E39">
        <w:rPr>
          <w:rFonts w:cs="Calibri"/>
        </w:rPr>
        <w:t xml:space="preserve"> </w:t>
      </w:r>
      <w:r w:rsidRPr="00496E39">
        <w:rPr>
          <w:rFonts w:cs="Calibri"/>
        </w:rPr>
        <w:fldChar w:fldCharType="begin"/>
      </w:r>
      <w:r w:rsidRPr="00496E39">
        <w:rPr>
          <w:rFonts w:cs="Calibri"/>
        </w:rPr>
        <w:instrText xml:space="preserve"> ADDIN ZOTERO_ITEM CSL_CITATION {"citationID":"a1n66hgpnqe","properties":{"formattedCitation":"\\uldash{({\\i{}ICF CHURCH} 2025)}","plainCitation":"(ICF CHURCH 2025)","dontUpdate":true,"noteIndex":0},"citationItems":[{"id":414,"uris":["http://zotero.org/users/14566843/items/SVAZJ5X3"],"itemData":{"id":414,"type":"post-weblog","title":"ICF CHURCH","URL":"https://www.icf.church/de/","issued":{"date-parts":[["2025",10,11]]}}}],"schema":"https://github.com/citation-style-language/schema/raw/master/csl-citation.json"} </w:instrText>
      </w:r>
      <w:r w:rsidRPr="00496E39">
        <w:rPr>
          <w:rFonts w:cs="Calibri"/>
        </w:rPr>
        <w:fldChar w:fldCharType="separate"/>
      </w:r>
      <w:r w:rsidRPr="00496E39">
        <w:rPr>
          <w:rFonts w:cs="Calibri"/>
        </w:rPr>
        <w:t>(ICF)</w:t>
      </w:r>
      <w:r w:rsidRPr="00496E39">
        <w:rPr>
          <w:rFonts w:cs="Calibri"/>
        </w:rPr>
        <w:fldChar w:fldCharType="end"/>
      </w:r>
      <w:r w:rsidRPr="00496E39">
        <w:rPr>
          <w:rFonts w:cs="Calibri"/>
        </w:rPr>
        <w:t> – ein international agierendes Netzwerk, das allein in Deutschland 34</w:t>
      </w:r>
      <w:r w:rsidRPr="007C1C73">
        <w:rPr>
          <w:rFonts w:cs="Calibri"/>
        </w:rPr>
        <w:t xml:space="preserve"> </w:t>
      </w:r>
      <w:r w:rsidRPr="00496E39">
        <w:rPr>
          <w:rFonts w:cs="Calibri"/>
        </w:rPr>
        <w:t>Gemeinden umfasst.</w:t>
      </w:r>
      <w:r w:rsidRPr="00496E39">
        <w:rPr>
          <w:rStyle w:val="Funotenzeichen"/>
          <w:rFonts w:cs="Calibri"/>
        </w:rPr>
        <w:footnoteReference w:id="42"/>
      </w:r>
      <w:r w:rsidRPr="00496E39">
        <w:rPr>
          <w:rFonts w:cs="Calibri"/>
        </w:rPr>
        <w:t xml:space="preserve"> Ebenso die </w:t>
      </w:r>
      <w:r w:rsidRPr="00496E39">
        <w:rPr>
          <w:rFonts w:cs="Calibri"/>
        </w:rPr>
        <w:fldChar w:fldCharType="begin"/>
      </w:r>
      <w:r w:rsidRPr="00496E39">
        <w:rPr>
          <w:rFonts w:cs="Calibri"/>
        </w:rPr>
        <w:instrText xml:space="preserve"> ADDIN ZOTERO_ITEM CSL_CITATION {"citationID":"a2p4n93abne","properties":{"formattedCitation":"\\uldash{({\\i{}Hillsong Germany} 2025)}","plainCitation":"(Hillsong Germany 2025)","dontUpdate":true,"noteIndex":0},"citationItems":[{"id":415,"uris":["http://zotero.org/users/14566843/items/QWW55EPT"],"itemData":{"id":415,"type":"entry-encyclopedia","title":"Hillsong Germany","URL":"https://hillsong.com/germany/","issued":{"date-parts":[["2025",10,11]]}}}],"schema":"https://github.com/citation-style-language/schema/raw/master/csl-citation.json"} </w:instrText>
      </w:r>
      <w:r w:rsidRPr="00496E39">
        <w:rPr>
          <w:rFonts w:cs="Calibri"/>
        </w:rPr>
        <w:fldChar w:fldCharType="separate"/>
      </w:r>
      <w:r w:rsidRPr="00496E39">
        <w:rPr>
          <w:rFonts w:cs="Calibri"/>
        </w:rPr>
        <w:t>Hillsong-</w:t>
      </w:r>
      <w:r w:rsidRPr="00496E39">
        <w:rPr>
          <w:rFonts w:cs="Calibri"/>
        </w:rPr>
        <w:fldChar w:fldCharType="end"/>
      </w:r>
      <w:r w:rsidRPr="00496E39">
        <w:rPr>
          <w:rFonts w:cs="Calibri"/>
        </w:rPr>
        <w:t>Church Germany, mit vier nationalen Ablegern.</w:t>
      </w:r>
      <w:r w:rsidRPr="00496E39">
        <w:rPr>
          <w:rStyle w:val="Funotenzeichen"/>
          <w:rFonts w:cs="Calibri"/>
        </w:rPr>
        <w:footnoteReference w:id="43"/>
      </w:r>
      <w:r w:rsidRPr="00496E39">
        <w:rPr>
          <w:rFonts w:cs="Calibri"/>
        </w:rPr>
        <w:t xml:space="preserve"> Charakteristisch für diese Gruppierungen ist ihr Bemühen, insbesondere junge Menschen durch ästhetisch inszenierte Glaubensformate auf zugängliche Weise für religiöse Inhalte zu gewinnen. Hinter dieser ästhetisch modernen Oberfläche stehen jedoch nicht selten konservative bis fundamentalistische Überzeugungen </w:t>
      </w:r>
      <w:r w:rsidRPr="00496E39">
        <w:rPr>
          <w:rFonts w:cs="Calibri"/>
        </w:rPr>
        <w:fldChar w:fldCharType="begin"/>
      </w:r>
      <w:r w:rsidRPr="00496E39">
        <w:rPr>
          <w:rFonts w:cs="Calibri"/>
        </w:rPr>
        <w:instrText xml:space="preserve"> ADDIN ZOTERO_ITEM CSL_CITATION {"citationID":"U3wmf4I0","properties":{"formattedCitation":"(Kick &amp; Hemminger, 2020)","plainCitation":"(Kick &amp; Hemminger, 2020)","dontUpdate":true,"noteIndex":0},"citationItems":[{"id":238,"uris":["http://zotero.org/users/14566843/items/KZGUN6WU"],"itemData":{"id":238,"type":"report","number":"EZW-Texte 265","publisher":"Evangelische Zentralstelle für Weltanschauungsfragen","title":"Unabhängige Gemeinden neben Kirchen und Freikirchen","author":[{"family":"Kick","given":"Annette"},{"family":"Hemminger","given":"Hansjörg"}],"accessed":{"date-parts":[["2025",9,7]]},"issued":{"date-parts":[["2020"]]}}}],"schema":"https://github.com/citation-style-language/schema/raw/master/csl-citation.json"} </w:instrText>
      </w:r>
      <w:r w:rsidRPr="00496E39">
        <w:rPr>
          <w:rFonts w:cs="Calibri"/>
        </w:rPr>
        <w:fldChar w:fldCharType="separate"/>
      </w:r>
      <w:r w:rsidRPr="00496E39">
        <w:rPr>
          <w:rFonts w:cs="Calibri"/>
          <w:noProof/>
        </w:rPr>
        <w:t>(Kick und Hemminger 2020, 20)</w:t>
      </w:r>
      <w:r w:rsidRPr="00496E39">
        <w:rPr>
          <w:rFonts w:cs="Calibri"/>
        </w:rPr>
        <w:fldChar w:fldCharType="end"/>
      </w:r>
      <w:r>
        <w:rPr>
          <w:rFonts w:cs="Calibri"/>
        </w:rPr>
        <w:t xml:space="preserve"> in Bezug auf </w:t>
      </w:r>
      <w:r w:rsidRPr="00496E39">
        <w:rPr>
          <w:rFonts w:cs="Calibri"/>
        </w:rPr>
        <w:t>Geschlechterethik oder</w:t>
      </w:r>
      <w:r>
        <w:rPr>
          <w:rFonts w:cs="Calibri"/>
        </w:rPr>
        <w:t xml:space="preserve"> die Vorstellung von</w:t>
      </w:r>
      <w:r w:rsidRPr="00496E39">
        <w:rPr>
          <w:rFonts w:cs="Calibri"/>
        </w:rPr>
        <w:t xml:space="preserve"> Familien. Die Gemeinden betonen, dass sie auf der Grundlage der Bibel lehren und arbeiten, dass sie also aus ihrer jeweiligen Sicht eine literalistische Verkündigung pflegen, </w:t>
      </w:r>
      <w:r>
        <w:rPr>
          <w:rFonts w:cs="Calibri"/>
        </w:rPr>
        <w:t>die die</w:t>
      </w:r>
      <w:r w:rsidRPr="00496E39">
        <w:rPr>
          <w:rFonts w:cs="Calibri"/>
        </w:rPr>
        <w:t xml:space="preserve"> vorherige</w:t>
      </w:r>
      <w:r>
        <w:rPr>
          <w:rFonts w:cs="Calibri"/>
        </w:rPr>
        <w:t>n</w:t>
      </w:r>
      <w:r w:rsidRPr="00496E39">
        <w:rPr>
          <w:rFonts w:cs="Calibri"/>
        </w:rPr>
        <w:t xml:space="preserve"> Punkte unterlegen würde. Die ideologische Ausrichtung variiert jedoch zwischen den Gemeinden stark.</w:t>
      </w:r>
    </w:p>
    <w:p w14:paraId="216CC12D" w14:textId="77777777" w:rsidR="00A768F4" w:rsidRDefault="00A768F4" w:rsidP="00A768F4">
      <w:pPr>
        <w:spacing w:line="276" w:lineRule="auto"/>
        <w:jc w:val="both"/>
        <w:rPr>
          <w:rFonts w:cs="Calibri"/>
        </w:rPr>
      </w:pPr>
      <w:r w:rsidRPr="00496E39">
        <w:rPr>
          <w:rFonts w:cs="Calibri"/>
        </w:rPr>
        <w:lastRenderedPageBreak/>
        <w:t xml:space="preserve">Parallel dazu entwickelt sich eine digitale religiöse Öffentlichkeit, in der christliche </w:t>
      </w:r>
      <w:proofErr w:type="gramStart"/>
      <w:r w:rsidRPr="00496E39">
        <w:rPr>
          <w:rFonts w:cs="Calibri"/>
        </w:rPr>
        <w:t>Influencer:innen</w:t>
      </w:r>
      <w:proofErr w:type="gramEnd"/>
      <w:r w:rsidRPr="00496E39">
        <w:rPr>
          <w:rFonts w:cs="Calibri"/>
        </w:rPr>
        <w:t xml:space="preserve">, sogenannter </w:t>
      </w:r>
      <w:proofErr w:type="gramStart"/>
      <w:r w:rsidRPr="00496E39">
        <w:rPr>
          <w:rFonts w:cs="Calibri"/>
          <w:b/>
          <w:bCs/>
        </w:rPr>
        <w:t>Christfluencer:innen</w:t>
      </w:r>
      <w:proofErr w:type="gramEnd"/>
      <w:r w:rsidRPr="00496E39">
        <w:rPr>
          <w:rFonts w:cs="Calibri"/>
        </w:rPr>
        <w:t xml:space="preserve"> auf Plattformen wie TikTok, Instagram oder YouTube missionarische Inhalte verbreiten. Während klassisch-evangelikale Medienformate wie Bibel-TV außerhalb ihrer Zielgruppe nur auf geringe öffentliche Resonanz stoßen </w:t>
      </w:r>
      <w:r w:rsidRPr="00496E39">
        <w:rPr>
          <w:rFonts w:cs="Calibri"/>
        </w:rPr>
        <w:fldChar w:fldCharType="begin"/>
      </w:r>
      <w:r w:rsidRPr="00496E39">
        <w:rPr>
          <w:rFonts w:cs="Calibri"/>
        </w:rPr>
        <w:instrText xml:space="preserve"> ADDIN ZOTERO_ITEM CSL_CITATION {"citationID":"auesbp9psf","properties":{"formattedCitation":"\\uldash{(Bassimir und Kohle 2017)}","plainCitation":"(Bassimir und Kohle 2017)","dontUpdate":true,"noteIndex":0},"citationItems":[{"id":385,"uris":["http://zotero.org/users/14566843/items/JIJXLWGG"],"itemData":{"id":385,"type":"chapter","container-title":"Handbuch Evangelikalismus","page":"409-423","publisher":"Transcript","title":"Evangelikalismus und Massenmedien: Strukturen in den USA","author":[{"family":"Bassimir","given":"Anna-Maria"},{"family":"Kohle","given":"Katrin"}],"editor":[{"family":"Elwert","given":"Frederik"},{"family":"Radermacher","given":"Martin"},{"family":"Schlamelcher","given":"Jens"}],"issued":{"date-parts":[["2017"]]}}}],"schema":"https://github.com/citation-style-language/schema/raw/master/csl-citation.json"} </w:instrText>
      </w:r>
      <w:r w:rsidRPr="00496E39">
        <w:rPr>
          <w:rFonts w:cs="Calibri"/>
        </w:rPr>
        <w:fldChar w:fldCharType="separate"/>
      </w:r>
      <w:r w:rsidRPr="00496E39">
        <w:rPr>
          <w:rFonts w:cs="Calibri"/>
        </w:rPr>
        <w:t>(Bassimir und Kohle 2017; 411)</w:t>
      </w:r>
      <w:r w:rsidRPr="00496E39">
        <w:rPr>
          <w:rFonts w:cs="Calibri"/>
        </w:rPr>
        <w:fldChar w:fldCharType="end"/>
      </w:r>
      <w:r w:rsidRPr="00496E39">
        <w:rPr>
          <w:rFonts w:cs="Calibri"/>
        </w:rPr>
        <w:t xml:space="preserve">, gewinnen Einzelakteur:innen mit digitaler Reichweite zunehmend an Einfluss. Ihre Inhalte sind häufig sichtbarer, anschlussfähiger und für viele </w:t>
      </w:r>
      <w:proofErr w:type="gramStart"/>
      <w:r w:rsidRPr="00496E39">
        <w:rPr>
          <w:rFonts w:cs="Calibri"/>
        </w:rPr>
        <w:t>Nutzer:innen</w:t>
      </w:r>
      <w:proofErr w:type="gramEnd"/>
      <w:r w:rsidRPr="00496E39">
        <w:rPr>
          <w:rFonts w:cs="Calibri"/>
        </w:rPr>
        <w:t xml:space="preserve"> authentischer als traditionell kirchliche Angebote. Damit verschieben sich die Räume religiöser Autorität und Deutungshoheit zunehmend in den digitalen Raum. Sie holen hier vor allem Jugendliche und junge Erwachsene ab, denn christliche Influencer:innen sprechen gezielt für die Phase der Adoleszenz relevante Bedürfnisse, wie etwa das Streben nach Orientierung, Zugehörigkeit und Identifikationsfiguren an </w:t>
      </w:r>
      <w:r w:rsidRPr="00496E39">
        <w:rPr>
          <w:rFonts w:cs="Calibri"/>
        </w:rPr>
        <w:fldChar w:fldCharType="begin"/>
      </w:r>
      <w:r w:rsidRPr="00496E39">
        <w:rPr>
          <w:rFonts w:cs="Calibri"/>
        </w:rPr>
        <w:instrText xml:space="preserve"> ADDIN ZOTERO_ITEM CSL_CITATION {"citationID":"admt7igoge","properties":{"formattedCitation":"\\uldash{(Kost und Seeger 2020)}","plainCitation":"(Kost und Seeger 2020)","dontUpdate":true,"noteIndex":0},"citationItems":[{"id":391,"uris":["http://zotero.org/users/14566843/items/MC3BBH8B"],"itemData":{"id":391,"type":"book","abstract":"Das Influencer Marketing hat sich in Deutschland in den vergangenen Jahren immer mehr etabliert und entwickelt sich langsam aus der Experimentierphase zu einem wesentlichen Baustein der Marketing-Strategie von Unternehmen. Dabei kristallisieren sich immer mehr Standards und allgemeingültige Regeln heraus.Dieses Buch beleuchtet relevante Aspekte des Influencer Marketings und beschreibt unterschiedliche Typen von Meinungsmachern. Es ordnet das Influencer Marketing als Trend und Kommunikationsform in den Marketing-Mix ein und gibt praktische Tipps für die Umsetzung aus verschiedenen Perspektiven: von der Marketingstrategie und der Auswahl geeigneter Multiplikatoren über das Projektmanagement und den Umgang mit Influencern bis hin zur Erfolgsmessung. Ein Einblick in die rechtlichen Rahmenbedingungen rundet das Buch ab","collection-number":"5076","collection-title":"UTB","edition":"2., überarbeitete und erweiterte Auflage","event-place":"Stuttgart","ISBN":"978-3-8252-5310-3","language":"ger","note":"DOI: 10.36198/9783838553108","number-of-pages":"1","publisher":"UTB GmbH","publisher-place":"Stuttgart","source":"K10plus ISBN","title":"Influencer Marketing: Grundlagen, Strategie und Management","title-short":"Influencer Marketing","author":[{"family":"Kost","given":"Julia F."},{"family":"Seeger","given":"Christof"}],"issued":{"date-parts":[["2020"]]}}}],"schema":"https://github.com/citation-style-language/schema/raw/master/csl-citation.json"} </w:instrText>
      </w:r>
      <w:r w:rsidRPr="00496E39">
        <w:rPr>
          <w:rFonts w:cs="Calibri"/>
        </w:rPr>
        <w:fldChar w:fldCharType="separate"/>
      </w:r>
      <w:r w:rsidRPr="00496E39">
        <w:rPr>
          <w:rFonts w:cs="Calibri"/>
        </w:rPr>
        <w:t>(Kost und Seeger 2020, 19)</w:t>
      </w:r>
      <w:r w:rsidRPr="00496E39">
        <w:rPr>
          <w:rFonts w:cs="Calibri"/>
        </w:rPr>
        <w:fldChar w:fldCharType="end"/>
      </w:r>
      <w:r w:rsidRPr="00496E39">
        <w:rPr>
          <w:rFonts w:cs="Calibri"/>
        </w:rPr>
        <w:t xml:space="preserve">. </w:t>
      </w:r>
    </w:p>
    <w:p w14:paraId="643BAA52" w14:textId="77777777" w:rsidR="00A768F4" w:rsidRDefault="00A768F4" w:rsidP="00A768F4">
      <w:pPr>
        <w:spacing w:line="276" w:lineRule="auto"/>
        <w:jc w:val="both"/>
        <w:rPr>
          <w:rFonts w:cs="Calibri"/>
        </w:rPr>
      </w:pPr>
      <w:r w:rsidRPr="00496E39">
        <w:rPr>
          <w:rFonts w:cs="Calibri"/>
        </w:rPr>
        <w:t xml:space="preserve">In diesem Kontext können sich persönliche Glaubensstile mit Elementen der Selbstdarstellung und Jugendkultur verbinden und so konservative bis fundamentalistische Glaubenssätze </w:t>
      </w:r>
      <w:r w:rsidRPr="00496E39">
        <w:rPr>
          <w:rFonts w:cs="Calibri"/>
          <w:i/>
          <w:iCs/>
        </w:rPr>
        <w:t>zeitgemäß</w:t>
      </w:r>
      <w:r w:rsidRPr="00496E39">
        <w:rPr>
          <w:rFonts w:cs="Calibri"/>
        </w:rPr>
        <w:t xml:space="preserve"> transportiert werden. Die Bandbreite dieser Akteur:innen ist groß, denn sie unterscheiden sich deutlich in ihrer Ansprache, inhaltlichen Ausrichtung und dem Grad ihrer medialen Inszenierung </w:t>
      </w:r>
      <w:r w:rsidRPr="00496E39">
        <w:rPr>
          <w:rFonts w:cs="Calibri"/>
        </w:rPr>
        <w:fldChar w:fldCharType="begin"/>
      </w:r>
      <w:r w:rsidRPr="00496E39">
        <w:rPr>
          <w:rFonts w:cs="Calibri"/>
        </w:rPr>
        <w:instrText xml:space="preserve"> ADDIN ZOTERO_ITEM CSL_CITATION {"citationID":"OxxCJluO","properties":{"formattedCitation":"(Pohl, 2024)","plainCitation":"(Pohl, 2024)","dontUpdate":true,"noteIndex":0},"citationItems":[{"id":194,"uris":["http://zotero.org/users/14566843/items/DB5IY6XY"],"itemData":{"id":194,"type":"document","publisher":"KN:IX","title":"Heiliger Schein? Herausforderungen und Kontroversen rund um Christfluencer*innen","URL":"https://kn-ix.de/publikationen/impuls-11/?doing_wp_cron=1750073693.1469900608062744140625","author":[{"family":"Pohl","given":"Sarah"}],"issued":{"date-parts":[["2024"]]}}}],"schema":"https://github.com/citation-style-language/schema/raw/master/csl-citation.json"} </w:instrText>
      </w:r>
      <w:r w:rsidRPr="00496E39">
        <w:rPr>
          <w:rFonts w:cs="Calibri"/>
        </w:rPr>
        <w:fldChar w:fldCharType="separate"/>
      </w:r>
      <w:r w:rsidRPr="00496E39">
        <w:rPr>
          <w:rFonts w:cs="Calibri"/>
          <w:noProof/>
        </w:rPr>
        <w:t>(Pohl 2024, 3)</w:t>
      </w:r>
      <w:r w:rsidRPr="00496E39">
        <w:rPr>
          <w:rFonts w:cs="Calibri"/>
        </w:rPr>
        <w:fldChar w:fldCharType="end"/>
      </w:r>
      <w:r w:rsidRPr="00496E39">
        <w:rPr>
          <w:rFonts w:cs="Calibri"/>
        </w:rPr>
        <w:t xml:space="preserve">. Die zum Teil fehlende Anbindung an kirchliche Institutionen eröffnet den Akteur:innen dabei größere Handlungsspielräume und erleichtert den Zugang zu Zielgruppen außerhalb traditioneller religiöser Strukturen, obwohl Untersuchungen wie etwa von Müller </w:t>
      </w:r>
      <w:r w:rsidRPr="00496E39">
        <w:rPr>
          <w:rFonts w:cs="Calibri"/>
        </w:rPr>
        <w:fldChar w:fldCharType="begin"/>
      </w:r>
      <w:r w:rsidRPr="00496E39">
        <w:rPr>
          <w:rFonts w:cs="Calibri"/>
        </w:rPr>
        <w:instrText xml:space="preserve"> ADDIN ZOTERO_ITEM CSL_CITATION {"citationID":"a3kj7lqbeg","properties":{"formattedCitation":"(M\\uc0\\u252{}ller 2023)","plainCitation":"(Müller 2023)","dontUpdate":true,"noteIndex":0},"citationItems":[{"id":250,"uris":["http://zotero.org/users/14566843/items/7X9Q6DSJ"],"itemData":{"id":250,"type":"report","publisher":"Universität Zürich","title":"#Follow Jesus – Wie Christfluencer:innen auf sozialen Medien wahrgenommen werden; Das Phänomen Christfluencer:innen","author":[{"family":"Müller","given":"Julia"}],"accessed":{"date-parts":[["2025",7,14]]},"issued":{"date-parts":[["2023"]]}}}],"schema":"https://github.com/citation-style-language/schema/raw/master/csl-citation.json"} </w:instrText>
      </w:r>
      <w:r w:rsidRPr="00496E39">
        <w:rPr>
          <w:rFonts w:cs="Calibri"/>
        </w:rPr>
        <w:fldChar w:fldCharType="separate"/>
      </w:r>
      <w:r w:rsidRPr="00496E39">
        <w:rPr>
          <w:rFonts w:cs="Calibri"/>
        </w:rPr>
        <w:t>(2023)</w:t>
      </w:r>
      <w:r w:rsidRPr="00496E39">
        <w:rPr>
          <w:rFonts w:cs="Calibri"/>
        </w:rPr>
        <w:fldChar w:fldCharType="end"/>
      </w:r>
      <w:r w:rsidRPr="00496E39">
        <w:rPr>
          <w:rFonts w:cs="Calibri"/>
        </w:rPr>
        <w:t xml:space="preserve"> darauf hinweisen, dass christliche Influencer:innen vor allem dort Wirkung entfalten, wo bereits religiöse oder weltanschauliche Prägungen im sozialen Umfeld bestehen. </w:t>
      </w:r>
    </w:p>
    <w:p w14:paraId="6001F6DC" w14:textId="77777777" w:rsidR="00A768F4" w:rsidRPr="00496E39" w:rsidRDefault="00A768F4" w:rsidP="00A768F4">
      <w:pPr>
        <w:spacing w:line="276" w:lineRule="auto"/>
        <w:jc w:val="both"/>
        <w:rPr>
          <w:rFonts w:cs="Calibri"/>
        </w:rPr>
      </w:pPr>
      <w:r w:rsidRPr="00496E39">
        <w:rPr>
          <w:rFonts w:cs="Calibri"/>
        </w:rPr>
        <w:t xml:space="preserve">Eine Studie der Universität Zürich legt nahe, dass christliche </w:t>
      </w:r>
      <w:proofErr w:type="gramStart"/>
      <w:r w:rsidRPr="00496E39">
        <w:rPr>
          <w:rFonts w:cs="Calibri"/>
        </w:rPr>
        <w:t>Influencer:innen</w:t>
      </w:r>
      <w:proofErr w:type="gramEnd"/>
      <w:r w:rsidRPr="00496E39">
        <w:rPr>
          <w:rFonts w:cs="Calibri"/>
        </w:rPr>
        <w:t xml:space="preserve"> von vielen </w:t>
      </w:r>
      <w:proofErr w:type="gramStart"/>
      <w:r w:rsidRPr="00496E39">
        <w:rPr>
          <w:rFonts w:cs="Calibri"/>
        </w:rPr>
        <w:t>Follower:innen</w:t>
      </w:r>
      <w:proofErr w:type="gramEnd"/>
      <w:r w:rsidRPr="00496E39">
        <w:rPr>
          <w:rFonts w:cs="Calibri"/>
        </w:rPr>
        <w:t xml:space="preserve"> als glaubwürdige und einflussreiche Persönlichkeiten eingeschätzt werden. Besonders Personen mit einem ausgeprägten Glaubensbezug fanden in ihnen Orientierung, und erkannten darin das Potenzial, andere Menschen für religiöse Inhalte zu gewinnen. Darüber hinaus wurden Christfluencer:innen in einigen Fällen sogar als informelle Autoritäten in Glaubensfragen angesehen </w:t>
      </w:r>
      <w:r w:rsidRPr="00496E39">
        <w:rPr>
          <w:rFonts w:cs="Calibri"/>
        </w:rPr>
        <w:fldChar w:fldCharType="begin"/>
      </w:r>
      <w:r w:rsidRPr="00496E39">
        <w:rPr>
          <w:rFonts w:cs="Calibri"/>
        </w:rPr>
        <w:instrText xml:space="preserve"> ADDIN ZOTERO_ITEM CSL_CITATION {"citationID":"5jQ9nhSj","properties":{"formattedCitation":"(M\\uc0\\u252{}ller 2023)","plainCitation":"(Müller 2023)","noteIndex":0},"citationItems":[{"id":250,"uris":["http://zotero.org/users/14566843/items/7X9Q6DSJ"],"itemData":{"id":250,"type":"report","publisher":"Universität Zürich","title":"#Follow Jesus – Wie Christfluencer:innen auf sozialen Medien wahrgenommen werden; Das Phänomen Christfluencer:innen","author":[{"family":"Müller","given":"Julia"}],"accessed":{"date-parts":[["2025",7,14]]},"issued":{"date-parts":[["2023"]]}}}],"schema":"https://github.com/citation-style-language/schema/raw/master/csl-citation.json"} </w:instrText>
      </w:r>
      <w:r w:rsidRPr="00496E39">
        <w:rPr>
          <w:rFonts w:cs="Calibri"/>
        </w:rPr>
        <w:fldChar w:fldCharType="separate"/>
      </w:r>
      <w:r w:rsidRPr="00496E39">
        <w:rPr>
          <w:rFonts w:cs="Calibri"/>
        </w:rPr>
        <w:t>(Müller 2023)</w:t>
      </w:r>
      <w:r w:rsidRPr="00496E39">
        <w:rPr>
          <w:rFonts w:cs="Calibri"/>
        </w:rPr>
        <w:fldChar w:fldCharType="end"/>
      </w:r>
      <w:r w:rsidRPr="00496E39">
        <w:rPr>
          <w:rFonts w:cs="Calibri"/>
        </w:rPr>
        <w:t xml:space="preserve">. Die Attraktivität liegt nicht zuletzt in der Verbindung individueller Selbstverwirklichung mit spirituellen Inhalten, die häufig mit äußerst konservativen bis fundamentalistischen Positionen verwoben sind, etwa in typischen Fragen nach Geschlecht, Sexualität oder gesellschaftlicher Ordnung. In durch Algorithmen verstärkten Kommunikationsräumen können sich zudem sogenannte </w:t>
      </w:r>
      <w:r w:rsidRPr="00496E39">
        <w:rPr>
          <w:rFonts w:cs="Calibri"/>
          <w:i/>
          <w:iCs/>
        </w:rPr>
        <w:t>Filterblasen</w:t>
      </w:r>
      <w:r w:rsidRPr="00496E39">
        <w:rPr>
          <w:rFonts w:cs="Calibri"/>
        </w:rPr>
        <w:t xml:space="preserve"> bilden, die vorhandene Einstellungen nicht nur bestätigen, sondern auch verstärken. Dabei besteht für Christfluencer:innen das </w:t>
      </w:r>
      <w:r w:rsidRPr="00496E39">
        <w:rPr>
          <w:rFonts w:cs="Calibri"/>
          <w:i/>
          <w:iCs/>
        </w:rPr>
        <w:t>Poten</w:t>
      </w:r>
      <w:r>
        <w:rPr>
          <w:rFonts w:cs="Calibri"/>
          <w:i/>
          <w:iCs/>
        </w:rPr>
        <w:t>z</w:t>
      </w:r>
      <w:r w:rsidRPr="00496E39">
        <w:rPr>
          <w:rFonts w:cs="Calibri"/>
          <w:i/>
          <w:iCs/>
        </w:rPr>
        <w:t>ial</w:t>
      </w:r>
      <w:r w:rsidRPr="00496E39">
        <w:rPr>
          <w:rFonts w:cs="Calibri"/>
        </w:rPr>
        <w:t>, dass sich entsprechende antifeministische, homofeindliche oder andere antipluralistische</w:t>
      </w:r>
      <w:r>
        <w:rPr>
          <w:rFonts w:cs="Calibri"/>
        </w:rPr>
        <w:t xml:space="preserve"> Haltungen</w:t>
      </w:r>
      <w:r w:rsidRPr="00496E39">
        <w:rPr>
          <w:rFonts w:cs="Calibri"/>
        </w:rPr>
        <w:t xml:space="preserve"> reproduzieren </w:t>
      </w:r>
      <w:r w:rsidRPr="00496E39">
        <w:rPr>
          <w:rFonts w:cs="Calibri"/>
        </w:rPr>
        <w:fldChar w:fldCharType="begin"/>
      </w:r>
      <w:r w:rsidRPr="00496E39">
        <w:rPr>
          <w:rFonts w:cs="Calibri"/>
        </w:rPr>
        <w:instrText xml:space="preserve"> ADDIN ZOTERO_ITEM CSL_CITATION {"citationID":"HtwpEstV","properties":{"formattedCitation":"(Pohl, 2024)","plainCitation":"(Pohl, 2024)","dontUpdate":true,"noteIndex":0},"citationItems":[{"id":194,"uris":["http://zotero.org/users/14566843/items/DB5IY6XY"],"itemData":{"id":194,"type":"document","publisher":"KN:IX","title":"Heiliger Schein? Herausforderungen und Kontroversen rund um Christfluencer*innen","URL":"https://kn-ix.de/publikationen/impuls-11/?doing_wp_cron=1750073693.1469900608062744140625","author":[{"family":"Pohl","given":"Sarah"}],"issued":{"date-parts":[["2024"]]}}}],"schema":"https://github.com/citation-style-language/schema/raw/master/csl-citation.json"} </w:instrText>
      </w:r>
      <w:r w:rsidRPr="00496E39">
        <w:rPr>
          <w:rFonts w:cs="Calibri"/>
        </w:rPr>
        <w:fldChar w:fldCharType="separate"/>
      </w:r>
      <w:r w:rsidRPr="00496E39">
        <w:rPr>
          <w:rFonts w:cs="Calibri"/>
          <w:noProof/>
        </w:rPr>
        <w:t>(Pohl 2024, 7)</w:t>
      </w:r>
      <w:r w:rsidRPr="00496E39">
        <w:rPr>
          <w:rFonts w:cs="Calibri"/>
        </w:rPr>
        <w:fldChar w:fldCharType="end"/>
      </w:r>
      <w:r w:rsidRPr="00496E39">
        <w:rPr>
          <w:rFonts w:cs="Calibri"/>
        </w:rPr>
        <w:t>.</w:t>
      </w:r>
    </w:p>
    <w:p w14:paraId="4668456A" w14:textId="77777777" w:rsidR="00A768F4" w:rsidRPr="00AC0D88" w:rsidRDefault="00A768F4" w:rsidP="00386EBF">
      <w:pPr>
        <w:pStyle w:val="berschrift2"/>
        <w:numPr>
          <w:ilvl w:val="0"/>
          <w:numId w:val="0"/>
        </w:numPr>
        <w:spacing w:after="160"/>
        <w:ind w:left="576" w:hanging="576"/>
        <w:rPr>
          <w:rFonts w:asciiTheme="minorHAnsi" w:hAnsiTheme="minorHAnsi" w:cstheme="minorHAnsi"/>
          <w:color w:val="016D72"/>
          <w:sz w:val="26"/>
          <w:szCs w:val="26"/>
        </w:rPr>
      </w:pPr>
      <w:bookmarkStart w:id="87" w:name="_Toc215819944"/>
      <w:r w:rsidRPr="00AC0D88">
        <w:rPr>
          <w:rFonts w:asciiTheme="minorHAnsi" w:hAnsiTheme="minorHAnsi" w:cstheme="minorHAnsi"/>
          <w:color w:val="016D72"/>
          <w:sz w:val="26"/>
          <w:szCs w:val="26"/>
        </w:rPr>
        <w:t>5.3. Ableitungen für den deutschen Kontext</w:t>
      </w:r>
      <w:bookmarkEnd w:id="87"/>
    </w:p>
    <w:p w14:paraId="293BD823" w14:textId="77777777" w:rsidR="00A768F4" w:rsidRPr="00496E39" w:rsidRDefault="00A768F4" w:rsidP="00A768F4">
      <w:pPr>
        <w:spacing w:line="276" w:lineRule="auto"/>
        <w:jc w:val="both"/>
        <w:rPr>
          <w:rFonts w:cs="Calibri"/>
        </w:rPr>
      </w:pPr>
      <w:r w:rsidRPr="00496E39">
        <w:rPr>
          <w:rFonts w:cs="Calibri"/>
        </w:rPr>
        <w:t>Werfen wir von dieser konzeptionellen Grundlage ausgehend einen (vergleichenden) Blick auf den Analyserahmen. In den USA existiert</w:t>
      </w:r>
      <w:r>
        <w:rPr>
          <w:rFonts w:cs="Calibri"/>
        </w:rPr>
        <w:t>,</w:t>
      </w:r>
      <w:r w:rsidRPr="00496E39">
        <w:rPr>
          <w:rFonts w:cs="Calibri"/>
        </w:rPr>
        <w:t xml:space="preserve"> nicht zuletzt aufgrund der eigenen historischen Erfahrungen mit religiösem Fundamentalismus</w:t>
      </w:r>
      <w:r>
        <w:rPr>
          <w:rFonts w:cs="Calibri"/>
        </w:rPr>
        <w:t>,</w:t>
      </w:r>
      <w:r w:rsidRPr="00496E39">
        <w:rPr>
          <w:rFonts w:cs="Calibri"/>
        </w:rPr>
        <w:t xml:space="preserve"> ein gewachsenes wissenschaftliches Interesse an dessen Auswirkungen auf Politik und Gesellschaft. Die Wechselwirkungen zwischen fundamentalistischen Strömungen und politischen Entwicklungen sind dort bereits vergleichsweise umfassend analysiert und dokumentiert worden</w:t>
      </w:r>
      <w:r>
        <w:rPr>
          <w:rFonts w:cs="Calibri"/>
        </w:rPr>
        <w:t xml:space="preserve"> –</w:t>
      </w:r>
      <w:r w:rsidRPr="00496E39">
        <w:rPr>
          <w:rFonts w:cs="Calibri"/>
        </w:rPr>
        <w:t xml:space="preserve"> besonders während und nach der ersten Präsidentschaft Trumps. Die Situation in Deutschland lässt sich </w:t>
      </w:r>
      <w:r>
        <w:rPr>
          <w:rFonts w:cs="Calibri"/>
        </w:rPr>
        <w:t>jedoch</w:t>
      </w:r>
      <w:r w:rsidRPr="00496E39">
        <w:rPr>
          <w:rFonts w:cs="Calibri"/>
        </w:rPr>
        <w:t xml:space="preserve"> weder im Hinblick auf den Stand der wissenschaftlichen Auseinandersetzung noch in Bezug auf Ausprägung und Einfluss fundamentalistischer Strömungen mit derjenigen in den USA gleichsetzen </w:t>
      </w:r>
      <w:r w:rsidRPr="00496E39">
        <w:rPr>
          <w:rFonts w:cs="Calibri"/>
        </w:rPr>
        <w:fldChar w:fldCharType="begin"/>
      </w:r>
      <w:r w:rsidRPr="00496E39">
        <w:rPr>
          <w:rFonts w:cs="Calibri"/>
        </w:rPr>
        <w:instrText xml:space="preserve"> ADDIN ZOTERO_ITEM CSL_CITATION {"citationID":"WM14dOz8","properties":{"formattedCitation":"(Dietz 2019)","plainCitation":"(Dietz 2019)","dontUpdate":true,"noteIndex":0},"citationItems":[{"id":198,"uris":["http://zotero.org/users/local/Q410LiLN/items/TX9JCZWB","http://zotero.org/users/14566843/items/TX9JCZWB"],"itemData":{"id":198,"type":"chapter","container-title":"Theologie und Soziale Arbeit im Gespräch","event-place":"Wiesbaden","ISBN":"978-3-658-24212-1","language":"de","note":"DOI: 10.1007/978-3-658-24213-8_5","page":"81-103","publisher":"Springer Fachmedien Wiesbaden","publisher-place":"Wiesbaden","source":"DOI.org (Crossref)","title":"Der demokratische Rechtsstaat und seine religiösen Befürworter bzw. Gegner: Theologische Auseinandersetzungen mit der Demokratie unter besonderer Berücksichtigung der evangelikalen Bewegung in Deutschland","title-short":"Der demokratische Rechtsstaat und seine religiösen Befürworter bzw. Gegner","URL":"http://link.springer.com/10.1007/978-3-658-24213-8_5","editor":[{"family":"Rahnfeld","given":"Claudia"}],"author":[{"family":"Dietz","given":"Thorsten"}],"accessed":{"date-parts":[["2025",6,18]]},"issued":{"date-parts":[["2019"]]}}}],"schema":"https://github.com/citation-style-language/schema/raw/master/csl-citation.json"} </w:instrText>
      </w:r>
      <w:r w:rsidRPr="00496E39">
        <w:rPr>
          <w:rFonts w:cs="Calibri"/>
        </w:rPr>
        <w:fldChar w:fldCharType="separate"/>
      </w:r>
      <w:r w:rsidRPr="00496E39">
        <w:rPr>
          <w:rFonts w:cs="Calibri"/>
          <w:noProof/>
        </w:rPr>
        <w:t>(Dietz 2019, 83)</w:t>
      </w:r>
      <w:r w:rsidRPr="00496E39">
        <w:rPr>
          <w:rFonts w:cs="Calibri"/>
        </w:rPr>
        <w:fldChar w:fldCharType="end"/>
      </w:r>
      <w:r w:rsidRPr="00496E39">
        <w:rPr>
          <w:rFonts w:cs="Calibri"/>
        </w:rPr>
        <w:t xml:space="preserve">. </w:t>
      </w:r>
    </w:p>
    <w:p w14:paraId="77DF8E61" w14:textId="77777777" w:rsidR="00A768F4" w:rsidRPr="00CF14DD" w:rsidRDefault="00A768F4" w:rsidP="00DA6E88">
      <w:pPr>
        <w:pStyle w:val="berschrift3"/>
        <w:numPr>
          <w:ilvl w:val="0"/>
          <w:numId w:val="0"/>
        </w:numPr>
        <w:spacing w:after="160"/>
        <w:ind w:left="720" w:hanging="720"/>
        <w:rPr>
          <w:rFonts w:asciiTheme="majorHAnsi" w:hAnsiTheme="majorHAnsi" w:cstheme="majorHAnsi"/>
          <w:color w:val="016D72"/>
          <w:sz w:val="24"/>
          <w:szCs w:val="24"/>
        </w:rPr>
      </w:pPr>
      <w:bookmarkStart w:id="88" w:name="_Toc215819945"/>
      <w:r w:rsidRPr="00CF14DD">
        <w:rPr>
          <w:rFonts w:asciiTheme="majorHAnsi" w:hAnsiTheme="majorHAnsi" w:cstheme="majorHAnsi"/>
          <w:color w:val="016D72"/>
          <w:sz w:val="24"/>
          <w:szCs w:val="24"/>
        </w:rPr>
        <w:lastRenderedPageBreak/>
        <w:t>5.3.1. Historisch-theologische Dimension</w:t>
      </w:r>
      <w:bookmarkEnd w:id="88"/>
    </w:p>
    <w:p w14:paraId="56660D02" w14:textId="77777777" w:rsidR="00A768F4" w:rsidRPr="00496E39" w:rsidRDefault="00A768F4" w:rsidP="00A768F4">
      <w:pPr>
        <w:tabs>
          <w:tab w:val="left" w:pos="6203"/>
        </w:tabs>
        <w:spacing w:line="276" w:lineRule="auto"/>
        <w:jc w:val="both"/>
        <w:rPr>
          <w:rFonts w:cs="Calibri"/>
        </w:rPr>
      </w:pPr>
      <w:r w:rsidRPr="00496E39">
        <w:rPr>
          <w:rFonts w:cs="Calibri"/>
        </w:rPr>
        <w:t xml:space="preserve">Fundamentalismus und Evangelikalismus haben eine zahlenmäßig zwar bei weitem nicht so ausgeprägte, aber dennoch lange Tradition in Deutschland. So prägten unter anderem die industrielle Revolution und damit einhergehende Modernisierungen, die beiden Weltkriege, Erweckungsbewegungen und eine Internationalisierung des religiösen Austauschs das Bild der evangelikalen und fundamentalistischen Landschaft in Deutschland </w:t>
      </w:r>
      <w:r w:rsidRPr="00496E39">
        <w:rPr>
          <w:rFonts w:cs="Calibri"/>
        </w:rPr>
        <w:fldChar w:fldCharType="begin"/>
      </w:r>
      <w:r w:rsidRPr="00496E39">
        <w:rPr>
          <w:rFonts w:cs="Calibri"/>
        </w:rPr>
        <w:instrText xml:space="preserve"> ADDIN ZOTERO_ITEM CSL_CITATION {"citationID":"a18ue52338p","properties":{"formattedCitation":"(Hornung 2017)","plainCitation":"(Hornung 2017)","dontUpdate":true,"noteIndex":0},"citationItems":[{"id":361,"uris":["http://zotero.org/users/14566843/items/GWRVKDHZ"],"itemData":{"id":361,"type":"chapter","collection-title":"Religionswissenschaft (Bielefeld)","container-title":"Handbuch Evangelikalismus","event-place":"Bielefeld","publisher":"Transcript","publisher-place":"Bielefeld","title":"Geschichte des Evangelikalismus in Europa","volume":"Band 5","author":[{"family":"Hornung","given":"Esther"}],"issued":{"date-parts":[["2017"]]}}}],"schema":"https://github.com/citation-style-language/schema/raw/master/csl-citation.json"} </w:instrText>
      </w:r>
      <w:r w:rsidRPr="00496E39">
        <w:rPr>
          <w:rFonts w:cs="Calibri"/>
        </w:rPr>
        <w:fldChar w:fldCharType="separate"/>
      </w:r>
      <w:r w:rsidRPr="00496E39">
        <w:rPr>
          <w:rFonts w:cs="Calibri"/>
        </w:rPr>
        <w:t xml:space="preserve">(Hornung 2017, </w:t>
      </w:r>
      <w:r w:rsidRPr="00496E39">
        <w:rPr>
          <w:rFonts w:cs="Calibri"/>
        </w:rPr>
        <w:fldChar w:fldCharType="end"/>
      </w:r>
      <w:r w:rsidRPr="00496E39">
        <w:rPr>
          <w:rFonts w:cs="Calibri"/>
        </w:rPr>
        <w:t xml:space="preserve">56-58). Mit der deutschen Wiedervereinigung und der zunehmenden Globalisierung ging einerseits ein Rückgang der etablierten Kirchen einher, andererseits wurde ein Nährboden für evangelikale und fundamentalistische Gruppen bereitet (ebd. 68). Diese Entwicklung ist einerseits als Reaktion auf die Moderne zu verstehen, andererseits durch die Anschlussfähigkeit, zumindest einiger Gruppen, an popkulturelle Erscheinungen und die </w:t>
      </w:r>
      <w:r>
        <w:rPr>
          <w:rFonts w:cs="Calibri"/>
        </w:rPr>
        <w:t>Hin</w:t>
      </w:r>
      <w:r w:rsidRPr="00496E39">
        <w:rPr>
          <w:rFonts w:cs="Calibri"/>
        </w:rPr>
        <w:t>wendung zu vermeintlichen Alltagsthematiken</w:t>
      </w:r>
      <w:r>
        <w:rPr>
          <w:rFonts w:cs="Calibri"/>
        </w:rPr>
        <w:t xml:space="preserve"> ausgelöst worden</w:t>
      </w:r>
      <w:r w:rsidRPr="00496E39">
        <w:rPr>
          <w:rFonts w:cs="Calibri"/>
        </w:rPr>
        <w:t xml:space="preserve">. Auch  das politische Engagement evangelikaler Gruppen in Deutschland wurde erst ab den 1990er-Jahren allmählich sichtbarer, nachdem sie sich zuvor weitgehend aus öffentlichen Debatten fernhielten </w:t>
      </w:r>
      <w:r w:rsidRPr="00496E39">
        <w:rPr>
          <w:rFonts w:cs="Calibri"/>
        </w:rPr>
        <w:fldChar w:fldCharType="begin"/>
      </w:r>
      <w:r w:rsidRPr="00496E39">
        <w:rPr>
          <w:rFonts w:cs="Calibri"/>
        </w:rPr>
        <w:instrText xml:space="preserve"> ADDIN ZOTERO_ITEM CSL_CITATION {"citationID":"a20fpiq7koh","properties":{"formattedCitation":"\\uldash{(Stockhausen 2017)}","plainCitation":"(Stockhausen 2017)","dontUpdate":true,"noteIndex":0},"citationItems":[{"id":386,"uris":["http://zotero.org/users/14566843/items/9GLFTPRD"],"itemData":{"id":386,"type":"chapter","container-title":"Handbuch Evangelikalismus","page":"305-319","publisher":"Transcript","title":"Evangelikalismus und Politik","author":[{"family":"Stockhausen","given":"Ulrike Elisabeth"}],"editor":[{"family":"Elwert","given":"Frederik"},{"family":"Radermacher","given":"Martin"},{"family":"Schlamelcher","given":"Jens"}],"issued":{"date-parts":[["2017"]]}}}],"schema":"https://github.com/citation-style-language/schema/raw/master/csl-citation.json"} </w:instrText>
      </w:r>
      <w:r w:rsidRPr="00496E39">
        <w:rPr>
          <w:rFonts w:cs="Calibri"/>
        </w:rPr>
        <w:fldChar w:fldCharType="separate"/>
      </w:r>
      <w:r w:rsidRPr="00496E39">
        <w:rPr>
          <w:rFonts w:cs="Calibri"/>
        </w:rPr>
        <w:t>(Stockhausen 2017, 307)</w:t>
      </w:r>
      <w:r w:rsidRPr="00496E39">
        <w:rPr>
          <w:rFonts w:cs="Calibri"/>
        </w:rPr>
        <w:fldChar w:fldCharType="end"/>
      </w:r>
      <w:r w:rsidRPr="00496E39">
        <w:rPr>
          <w:rFonts w:cs="Calibri"/>
        </w:rPr>
        <w:t xml:space="preserve">. </w:t>
      </w:r>
    </w:p>
    <w:p w14:paraId="240DE39D" w14:textId="77777777" w:rsidR="00A768F4" w:rsidRPr="00CF14DD" w:rsidRDefault="00A768F4" w:rsidP="00DA6E88">
      <w:pPr>
        <w:pStyle w:val="berschrift3"/>
        <w:numPr>
          <w:ilvl w:val="0"/>
          <w:numId w:val="0"/>
        </w:numPr>
        <w:spacing w:after="160"/>
        <w:ind w:left="720" w:hanging="720"/>
        <w:rPr>
          <w:rFonts w:asciiTheme="majorHAnsi" w:hAnsiTheme="majorHAnsi" w:cstheme="majorHAnsi"/>
          <w:color w:val="016D72"/>
          <w:sz w:val="24"/>
          <w:szCs w:val="24"/>
        </w:rPr>
      </w:pPr>
      <w:bookmarkStart w:id="89" w:name="_Toc215819946"/>
      <w:r w:rsidRPr="00CF14DD">
        <w:rPr>
          <w:rFonts w:asciiTheme="majorHAnsi" w:hAnsiTheme="majorHAnsi" w:cstheme="majorHAnsi"/>
          <w:color w:val="016D72"/>
          <w:sz w:val="24"/>
          <w:szCs w:val="24"/>
        </w:rPr>
        <w:t>5.3.2. Gesellschaftlich-politische Dimension</w:t>
      </w:r>
      <w:bookmarkEnd w:id="89"/>
    </w:p>
    <w:p w14:paraId="43E1C85D" w14:textId="77777777" w:rsidR="00A768F4" w:rsidRPr="00496E39" w:rsidRDefault="00A768F4" w:rsidP="00A768F4">
      <w:pPr>
        <w:tabs>
          <w:tab w:val="left" w:pos="6203"/>
        </w:tabs>
        <w:spacing w:line="276" w:lineRule="auto"/>
        <w:jc w:val="both"/>
        <w:rPr>
          <w:rFonts w:cs="Calibri"/>
        </w:rPr>
      </w:pPr>
      <w:r w:rsidRPr="00496E39">
        <w:rPr>
          <w:rFonts w:cs="Calibri"/>
        </w:rPr>
        <w:t xml:space="preserve">Durch das vorhergegangene Mapping wird deutlich, dass fundamentalistisch und evangelikal geprägte Gemeinden und Gruppierungen in Deutschland weder in ihrer organisatorischen Praxis noch in ihrer, </w:t>
      </w:r>
      <w:r>
        <w:rPr>
          <w:rFonts w:cs="Calibri"/>
        </w:rPr>
        <w:t>sofern</w:t>
      </w:r>
      <w:r w:rsidRPr="00496E39">
        <w:rPr>
          <w:rFonts w:cs="Calibri"/>
        </w:rPr>
        <w:t xml:space="preserve"> sichtbar, politischen Ausrichtung als einheitlich betrachtet werden können.  Auch nehmen sie nicht in dem Maße gesellschaftliche Wirkungsfelder ein, wie sie es in den USA tun. Dies ist auf eine Reihe miteinander verwobener Faktoren zurückzuführen, darunter kulturelle, rechtliche und historisch gewachsene Unterschiede sowie die national gemeindestrukturellen Besonderheiten. Ein Teil der deutschen Gemeinschaften orientiert sich weiterhin stark an traditionellen Strukturen und meidet politische Partizipation weitgehend. In diesem Zusammenhang können Wahlverweigerung, soziale Abschottung oder der Verzicht auf öffentliche Stellungnahmen als Formen indirekter politischer Positionierung verstanden werden. Katja Guske </w:t>
      </w:r>
      <w:r w:rsidRPr="00496E39">
        <w:rPr>
          <w:rFonts w:cs="Calibri"/>
        </w:rPr>
        <w:fldChar w:fldCharType="begin"/>
      </w:r>
      <w:r w:rsidRPr="00496E39">
        <w:rPr>
          <w:rFonts w:cs="Calibri"/>
        </w:rPr>
        <w:instrText xml:space="preserve"> ADDIN ZOTERO_ITEM CSL_CITATION {"citationID":"a2l7d5rqoin","properties":{"formattedCitation":"\\uldash{(Guske 2014)}","plainCitation":"(Guske 2014)","dontUpdate":true,"noteIndex":0},"citationItems":[{"id":269,"uris":["http://zotero.org/users/14566843/items/MT4W4SQ8"],"itemData":{"id":269,"type":"book","abstract":"Politisch einflussreiche Evangelikale werden insbesondere in den USA verortet. Doch auch deutsche Evangelikale üben einen nicht zu unterschätzenden politischen Einfluss aus. Katja Guske analysiert detailliert politische Einstellungen, Aktivitäten und Handlungsstrategien der deutschen Evangelikalen. Die bisher in den Politikwissenschaften vernachlässigte Erforschung dieser wichtigen religiösen Gruppierung setzt sie ins Verhältnis zu den amerikanischen Evangelikalen und erweitert sie um eine religionskulturell vergleichende Perspektive. Die Autorin beantwortet auf der Basis zahlreicher Interviews mit deutschen Evangelikalen die Frage, ob es sich um eine fundamentalistische Bewegung handelt oder ob sie als Teil der Zivilgesellschaft an den friedlichen Aushandlungsprozessen der religiös pluralistischen und politisch säkularen deutschen Gesellschaft partizipiert. Der Inhalt Entwicklung und Ambivalenz der Säkularisierung Auswirkungen der Säkularisierung auf das Staat-Kirche-Verhältnis Die deutsche evangelikale Bewegung Deutsche Evangelikale und Politik Konfliktpunkte im Agieren der evangelikalen Bewegung Die Zielgruppen Dozierende und Studierende der Politik- und Religionswissenschaften Personen der politischen und religiösen Öffentlichkeit Die Autorin Katja Guske ist Sozialwissenschaftlerin an der Humboldt-Universität zu Berlin und Projektkoordinatorin des von der Haniel Stiftung geförderten interdisziplinären Forschungsbereichs „Program on Religion, Politics and Economics“","collection-title":"SpringerLink Bücher","event-place":"Wiesbaden","ISBN":"978-3-658-03846-5","language":"ger","note":"DOI: 10.1007/978-3-658-03847-2","number-of-pages":"247","publisher":"Springer VS","publisher-place":"Wiesbaden","source":"K10plus ISBN","title":"Zwischen Bibel und Grundgesetz: Die Religionspolitik der Evangelikalen in Deutschland","title-short":"Zwischen Bibel und Grundgesetz","author":[{"family":"Guske","given":"Katja"}],"issued":{"date-parts":[["2014"]]}}}],"schema":"https://github.com/citation-style-language/schema/raw/master/csl-citation.json"} </w:instrText>
      </w:r>
      <w:r w:rsidRPr="00496E39">
        <w:rPr>
          <w:rFonts w:cs="Calibri"/>
        </w:rPr>
        <w:fldChar w:fldCharType="separate"/>
      </w:r>
      <w:r w:rsidRPr="00496E39">
        <w:rPr>
          <w:rFonts w:cs="Calibri"/>
        </w:rPr>
        <w:t>(2014,</w:t>
      </w:r>
      <w:r w:rsidRPr="00496E39">
        <w:rPr>
          <w:rFonts w:cs="Calibri"/>
        </w:rPr>
        <w:fldChar w:fldCharType="end"/>
      </w:r>
      <w:r w:rsidRPr="00496E39">
        <w:rPr>
          <w:rFonts w:cs="Calibri"/>
        </w:rPr>
        <w:t xml:space="preserve"> 217-219) betont in ihrer Abhandlung, dass Politik innerhalb der evangelikalen Szene lange Zeit als Ablenkung von der Glaubensausübung und der Verkündigung des Evangeliums verstanden wurde. In den letzten Jahrzehnten habe sich dies jedoch nach langwierigen internen Debatten geändert: Ein großer Teil der Evangelikalen versteht politisches Engagement inzwischen als religiösen Auftrag, um christliche Werte über den diakonischen Bereich hinaus aktiv in gesellschaftliche Debatten einzubringen. Relevant an dieser Stelle ist, dass der Forschungsstand in Deutschland vor allem explizit den Evangelikalismus fokussiert, während fundamentalistische Gruppierungen, auch innerhalb</w:t>
      </w:r>
      <w:r w:rsidRPr="007C1C73">
        <w:rPr>
          <w:rFonts w:cs="Calibri"/>
        </w:rPr>
        <w:t xml:space="preserve"> </w:t>
      </w:r>
      <w:r w:rsidRPr="00496E39">
        <w:rPr>
          <w:rFonts w:cs="Calibri"/>
        </w:rPr>
        <w:t>evangelikaler Strukturen, bislang nur begrenzt separat erfasst sind. Die verfügbaren Daten beruhen meist auf öffentlichen Stellungnahmen, etwa der Evangelischen Allianz, die nicht für das Spektrum verallgemeinerbar sind und deren Bekenntnis zur freiheitlich-demokratischen Grundordnung sich deutlich von vielen ihrer US-amerikanischen Pendants unterscheidet.</w:t>
      </w:r>
    </w:p>
    <w:p w14:paraId="47D078D1" w14:textId="77777777" w:rsidR="00A768F4" w:rsidRDefault="00A768F4" w:rsidP="00A768F4">
      <w:pPr>
        <w:tabs>
          <w:tab w:val="left" w:pos="5217"/>
        </w:tabs>
        <w:spacing w:line="276" w:lineRule="auto"/>
        <w:jc w:val="both"/>
        <w:rPr>
          <w:rFonts w:cs="Calibri"/>
        </w:rPr>
      </w:pPr>
      <w:r w:rsidRPr="00496E39">
        <w:rPr>
          <w:rFonts w:cs="Calibri"/>
        </w:rPr>
        <w:t xml:space="preserve">Politische Beteiligung wird also in vielen evangelikalen Kontexten nicht nur toleriert, sondern als religiöse Pflicht angesehen. Christ:innen sollten sich demnach nicht aus dem öffentlichen Raum oder dem politischen Diskurs entfernen, sondern sich „[…] vielmehr mit ihrer biblisch begründeten Werteerkenntnis in die politische Debatte einbringen“ </w:t>
      </w:r>
      <w:r w:rsidRPr="00496E39">
        <w:rPr>
          <w:rFonts w:cs="Calibri"/>
        </w:rPr>
        <w:fldChar w:fldCharType="begin"/>
      </w:r>
      <w:r w:rsidRPr="00496E39">
        <w:rPr>
          <w:rFonts w:cs="Calibri"/>
        </w:rPr>
        <w:instrText xml:space="preserve"> ADDIN ZOTERO_ITEM CSL_CITATION {"citationID":"a24rvfmon3t","properties":{"formattedCitation":"(Dietz 2017)","plainCitation":"(Dietz 2017)","dontUpdate":true,"noteIndex":0},"citationItems":[{"id":246,"uris":["http://zotero.org/users/14566843/items/N2G6YZEX"],"itemData":{"id":246,"type":"article-magazine","container-title":"Bundeszentrale für politische Bildung.","title":"Religiosität unter Russlanddeutschen.","URL":"https://www.bpb.de/themen/migration-integration/kurzdossiers/252539/religiositaet-unter-russlanddeutschen/","author":[{"family":"Dietz","given":"B"}],"issued":{"date-parts":[["2017"]]}}}],"schema":"https://github.com/citation-style-language/schema/raw/master/csl-citation.json"} </w:instrText>
      </w:r>
      <w:r w:rsidRPr="00496E39">
        <w:rPr>
          <w:rFonts w:cs="Calibri"/>
        </w:rPr>
        <w:fldChar w:fldCharType="separate"/>
      </w:r>
      <w:r w:rsidRPr="00496E39">
        <w:rPr>
          <w:rFonts w:cs="Calibri"/>
        </w:rPr>
        <w:t>(Dietz 2019,</w:t>
      </w:r>
      <w:r w:rsidRPr="00496E39">
        <w:rPr>
          <w:rFonts w:cs="Calibri"/>
        </w:rPr>
        <w:fldChar w:fldCharType="end"/>
      </w:r>
      <w:r w:rsidRPr="00496E39">
        <w:rPr>
          <w:rFonts w:cs="Calibri"/>
        </w:rPr>
        <w:t xml:space="preserve"> 95). Politische Aussagen und Handlungen werden dabei häufig auf der Grundlage biblischer Autorität legitimiert: „[…] aus der Lektüre der Bibel gewonnene Werte stellen die Basis für jegliches gesellschaftliches und politisches Engagement dar.“ </w:t>
      </w:r>
      <w:r w:rsidRPr="00496E39">
        <w:rPr>
          <w:rFonts w:cs="Calibri"/>
        </w:rPr>
        <w:fldChar w:fldCharType="begin"/>
      </w:r>
      <w:r w:rsidRPr="00496E39">
        <w:rPr>
          <w:rFonts w:cs="Calibri"/>
        </w:rPr>
        <w:instrText xml:space="preserve"> ADDIN ZOTERO_ITEM CSL_CITATION {"citationID":"a1ud538o9fv","properties":{"formattedCitation":"(Guske 2014)","plainCitation":"(Guske 2014)","dontUpdate":true,"noteIndex":0},"citationItems":[{"id":269,"uris":["http://zotero.org/users/14566843/items/MT4W4SQ8"],"itemData":{"id":269,"type":"book","abstract":"Politisch einflussreiche Evangelikale werden insbesondere in den USA verortet. Doch auch deutsche Evangelikale üben einen nicht zu unterschätzenden politischen Einfluss aus. Katja Guske analysiert detailliert politische Einstellungen, Aktivitäten und Handlungsstrategien der deutschen Evangelikalen. Die bisher in den Politikwissenschaften vernachlässigte Erforschung dieser wichtigen religiösen Gruppierung setzt sie ins Verhältnis zu den amerikanischen Evangelikalen und erweitert sie um eine religionskulturell vergleichende Perspektive. Die Autorin beantwortet auf der Basis zahlreicher Interviews mit deutschen Evangelikalen die Frage, ob es sich um eine fundamentalistische Bewegung handelt oder ob sie als Teil der Zivilgesellschaft an den friedlichen Aushandlungsprozessen der religiös pluralistischen und politisch säkularen deutschen Gesellschaft partizipiert. Der Inhalt Entwicklung und Ambivalenz der Säkularisierung Auswirkungen der Säkularisierung auf das Staat-Kirche-Verhältnis Die deutsche evangelikale Bewegung Deutsche Evangelikale und Politik Konfliktpunkte im Agieren der evangelikalen Bewegung Die Zielgruppen Dozierende und Studierende der Politik- und Religionswissenschaften Personen der politischen und religiösen Öffentlichkeit Die Autorin Katja Guske ist Sozialwissenschaftlerin an der Humboldt-Universität zu Berlin und Projektkoordinatorin des von der Haniel Stiftung geförderten interdisziplinären Forschungsbereichs „Program on Religion, Politics and Economics“","collection-title":"SpringerLink Bücher","event-place":"Wiesbaden","ISBN":"978-3-658-03846-5","language":"ger","note":"DOI: 10.1007/978-3-658-03847-2","number-of-pages":"247","publisher":"Springer VS","publisher-place":"Wiesbaden","source":"K10plus ISBN","title":"Zwischen Bibel und Grundgesetz: Die Religionspolitik der Evangelikalen in Deutschland","title-short":"Zwischen Bibel und Grundgesetz","author":[{"family":"Guske","given":"Katja"}],"issued":{"date-parts":[["2014"]]}}}],"schema":"https://github.com/citation-style-language/schema/raw/master/csl-citation.json"} </w:instrText>
      </w:r>
      <w:r w:rsidRPr="00496E39">
        <w:rPr>
          <w:rFonts w:cs="Calibri"/>
        </w:rPr>
        <w:fldChar w:fldCharType="separate"/>
      </w:r>
      <w:r w:rsidRPr="00496E39">
        <w:rPr>
          <w:rFonts w:cs="Calibri"/>
        </w:rPr>
        <w:t>(Guske 2014,</w:t>
      </w:r>
      <w:r w:rsidRPr="00496E39">
        <w:rPr>
          <w:rFonts w:cs="Calibri"/>
        </w:rPr>
        <w:fldChar w:fldCharType="end"/>
      </w:r>
      <w:r w:rsidRPr="00496E39">
        <w:rPr>
          <w:rFonts w:cs="Calibri"/>
        </w:rPr>
        <w:t xml:space="preserve"> 107</w:t>
      </w:r>
      <w:r>
        <w:rPr>
          <w:rFonts w:cs="Calibri"/>
        </w:rPr>
        <w:t>-</w:t>
      </w:r>
      <w:r w:rsidRPr="00496E39">
        <w:rPr>
          <w:rFonts w:cs="Calibri"/>
        </w:rPr>
        <w:t xml:space="preserve">108). Dieser Vorrang biblischer Gebote wird dabei so weit gefasst, </w:t>
      </w:r>
      <w:r w:rsidRPr="00496E39">
        <w:rPr>
          <w:rFonts w:cs="Calibri"/>
        </w:rPr>
        <w:lastRenderedPageBreak/>
        <w:t xml:space="preserve">dass „[…] nicht der freiheitlich-demokratische deutsche Rechtsstaat, sondern Gottes Gesetze“ als höchste Instanz gelten </w:t>
      </w:r>
      <w:r w:rsidRPr="00496E39">
        <w:rPr>
          <w:rFonts w:cs="Calibri"/>
        </w:rPr>
        <w:fldChar w:fldCharType="begin"/>
      </w:r>
      <w:r w:rsidRPr="00496E39">
        <w:rPr>
          <w:rFonts w:cs="Calibri"/>
        </w:rPr>
        <w:instrText xml:space="preserve"> ADDIN ZOTERO_ITEM CSL_CITATION {"citationID":"a2dekf60ial","properties":{"formattedCitation":"(Guske 2014)","plainCitation":"(Guske 2014)","dontUpdate":true,"noteIndex":0},"citationItems":[{"id":269,"uris":["http://zotero.org/users/14566843/items/MT4W4SQ8"],"itemData":{"id":269,"type":"book","abstract":"Politisch einflussreiche Evangelikale werden insbesondere in den USA verortet. Doch auch deutsche Evangelikale üben einen nicht zu unterschätzenden politischen Einfluss aus. Katja Guske analysiert detailliert politische Einstellungen, Aktivitäten und Handlungsstrategien der deutschen Evangelikalen. Die bisher in den Politikwissenschaften vernachlässigte Erforschung dieser wichtigen religiösen Gruppierung setzt sie ins Verhältnis zu den amerikanischen Evangelikalen und erweitert sie um eine religionskulturell vergleichende Perspektive. Die Autorin beantwortet auf der Basis zahlreicher Interviews mit deutschen Evangelikalen die Frage, ob es sich um eine fundamentalistische Bewegung handelt oder ob sie als Teil der Zivilgesellschaft an den friedlichen Aushandlungsprozessen der religiös pluralistischen und politisch säkularen deutschen Gesellschaft partizipiert. Der Inhalt Entwicklung und Ambivalenz der Säkularisierung Auswirkungen der Säkularisierung auf das Staat-Kirche-Verhältnis Die deutsche evangelikale Bewegung Deutsche Evangelikale und Politik Konfliktpunkte im Agieren der evangelikalen Bewegung Die Zielgruppen Dozierende und Studierende der Politik- und Religionswissenschaften Personen der politischen und religiösen Öffentlichkeit Die Autorin Katja Guske ist Sozialwissenschaftlerin an der Humboldt-Universität zu Berlin und Projektkoordinatorin des von der Haniel Stiftung geförderten interdisziplinären Forschungsbereichs „Program on Religion, Politics and Economics“","collection-title":"SpringerLink Bücher","event-place":"Wiesbaden","ISBN":"978-3-658-03846-5","language":"ger","note":"DOI: 10.1007/978-3-658-03847-2","number-of-pages":"247","publisher":"Springer VS","publisher-place":"Wiesbaden","source":"K10plus ISBN","title":"Zwischen Bibel und Grundgesetz: Die Religionspolitik der Evangelikalen in Deutschland","title-short":"Zwischen Bibel und Grundgesetz","author":[{"family":"Guske","given":"Katja"}],"issued":{"date-parts":[["2014"]]}}}],"schema":"https://github.com/citation-style-language/schema/raw/master/csl-citation.json"} </w:instrText>
      </w:r>
      <w:r w:rsidRPr="00496E39">
        <w:rPr>
          <w:rFonts w:cs="Calibri"/>
        </w:rPr>
        <w:fldChar w:fldCharType="separate"/>
      </w:r>
      <w:r w:rsidRPr="00496E39">
        <w:rPr>
          <w:rFonts w:cs="Calibri"/>
        </w:rPr>
        <w:t>(Guske 2014,</w:t>
      </w:r>
      <w:r w:rsidRPr="00496E39">
        <w:rPr>
          <w:rFonts w:cs="Calibri"/>
        </w:rPr>
        <w:fldChar w:fldCharType="end"/>
      </w:r>
      <w:r w:rsidRPr="00496E39">
        <w:rPr>
          <w:rFonts w:cs="Calibri"/>
        </w:rPr>
        <w:t xml:space="preserve"> 111). </w:t>
      </w:r>
    </w:p>
    <w:p w14:paraId="23B7CC62" w14:textId="77777777" w:rsidR="00A768F4" w:rsidRPr="00496E39" w:rsidRDefault="00A768F4" w:rsidP="00A768F4">
      <w:pPr>
        <w:tabs>
          <w:tab w:val="left" w:pos="5217"/>
        </w:tabs>
        <w:spacing w:line="276" w:lineRule="auto"/>
        <w:jc w:val="both"/>
        <w:rPr>
          <w:rFonts w:cs="Calibri"/>
        </w:rPr>
      </w:pPr>
      <w:r w:rsidRPr="00496E39">
        <w:rPr>
          <w:rFonts w:cs="Calibri"/>
        </w:rPr>
        <w:t xml:space="preserve">Gerade bei </w:t>
      </w:r>
      <w:proofErr w:type="gramStart"/>
      <w:r w:rsidRPr="00496E39">
        <w:rPr>
          <w:rFonts w:cs="Calibri"/>
        </w:rPr>
        <w:t>Aussiedler:innengemeinden</w:t>
      </w:r>
      <w:proofErr w:type="gramEnd"/>
      <w:r w:rsidRPr="00496E39">
        <w:rPr>
          <w:rFonts w:cs="Calibri"/>
        </w:rPr>
        <w:t xml:space="preserve"> zeigt sich eine zunehmende Orientierung an Mustern des US-amerikanischen Fundamentalismus. So besteht der Anspruch, biblische Normen trotz der säkularen Ordnung als Grundlage für Rechtsprechung und gesellschaftliche Ordnung zu etablieren </w:t>
      </w:r>
      <w:r w:rsidRPr="00496E39">
        <w:rPr>
          <w:rFonts w:cs="Calibri"/>
        </w:rPr>
        <w:fldChar w:fldCharType="begin"/>
      </w:r>
      <w:r w:rsidRPr="00496E39">
        <w:rPr>
          <w:rFonts w:cs="Calibri"/>
        </w:rPr>
        <w:instrText xml:space="preserve"> ADDIN ZOTERO_ITEM CSL_CITATION {"citationID":"a2n3m01ks22","properties":{"formattedCitation":"(Kick und Hemminger 2020)","plainCitation":"(Kick und Hemminger 2020)","dontUpdate":true,"noteIndex":0},"citationItems":[{"id":238,"uris":["http://zotero.org/users/14566843/items/KZGUN6WU"],"itemData":{"id":238,"type":"report","number":"EZW-Texte 265","publisher":"Evangelische Zentralstelle für Weltanschauungsfragen","title":"Unabhängige Gemeinden neben Kirchen und Freikirchen","author":[{"family":"Kick","given":"Annette"},{"family":"Hemminger","given":"Hansjörg"}],"accessed":{"date-parts":[["2025",9,7]]},"issued":{"date-parts":[["2020"]]}}}],"schema":"https://github.com/citation-style-language/schema/raw/master/csl-citation.json"} </w:instrText>
      </w:r>
      <w:r w:rsidRPr="00496E39">
        <w:rPr>
          <w:rFonts w:cs="Calibri"/>
        </w:rPr>
        <w:fldChar w:fldCharType="separate"/>
      </w:r>
      <w:r w:rsidRPr="00496E39">
        <w:rPr>
          <w:rFonts w:cs="Calibri"/>
        </w:rPr>
        <w:t>(Kick und Hemminger 2020, 30-34)</w:t>
      </w:r>
      <w:r w:rsidRPr="00496E39">
        <w:rPr>
          <w:rFonts w:cs="Calibri"/>
        </w:rPr>
        <w:fldChar w:fldCharType="end"/>
      </w:r>
      <w:r w:rsidRPr="00496E39">
        <w:rPr>
          <w:rFonts w:cs="Calibri"/>
        </w:rPr>
        <w:t xml:space="preserve">. Thorsten Dietz (2019) verweist in diesem Zusammenhang kritisch auf die einseitige politische Ausrichtung vieler evangelikaler Gruppen: Eine durchgehend liberale Position fände demnach im Evangelikalismus kaum Rückhalt, da zentrale Werte liberaler Demokratien, etwa in Fragen der Gleichstellung oder individuellen Freiheit, bereits auf theologischer Ebene abgelehnt würden </w:t>
      </w:r>
      <w:r w:rsidRPr="00496E39">
        <w:rPr>
          <w:rFonts w:cs="Calibri"/>
        </w:rPr>
        <w:fldChar w:fldCharType="begin"/>
      </w:r>
      <w:r w:rsidRPr="00496E39">
        <w:rPr>
          <w:rFonts w:cs="Calibri"/>
        </w:rPr>
        <w:instrText xml:space="preserve"> ADDIN ZOTERO_ITEM CSL_CITATION {"citationID":"a1n3iuiavqb","properties":{"formattedCitation":"(Dietz 2017)","plainCitation":"(Dietz 2017)","dontUpdate":true,"noteIndex":0},"citationItems":[{"id":246,"uris":["http://zotero.org/users/14566843/items/N2G6YZEX"],"itemData":{"id":246,"type":"article-magazine","container-title":"Bundeszentrale für politische Bildung.","title":"Religiosität unter Russlanddeutschen.","URL":"https://www.bpb.de/themen/migration-integration/kurzdossiers/252539/religiositaet-unter-russlanddeutschen/","author":[{"family":"Dietz","given":"B"}],"issued":{"date-parts":[["2017"]]}}}],"schema":"https://github.com/citation-style-language/schema/raw/master/csl-citation.json"} </w:instrText>
      </w:r>
      <w:r w:rsidRPr="00496E39">
        <w:rPr>
          <w:rFonts w:cs="Calibri"/>
        </w:rPr>
        <w:fldChar w:fldCharType="separate"/>
      </w:r>
      <w:r w:rsidRPr="00496E39">
        <w:rPr>
          <w:rFonts w:cs="Calibri"/>
        </w:rPr>
        <w:t>(Dietz 2019, 91)</w:t>
      </w:r>
      <w:r w:rsidRPr="00496E39">
        <w:rPr>
          <w:rFonts w:cs="Calibri"/>
        </w:rPr>
        <w:fldChar w:fldCharType="end"/>
      </w:r>
      <w:r w:rsidRPr="00496E39">
        <w:rPr>
          <w:rFonts w:cs="Calibri"/>
        </w:rPr>
        <w:t>. Insgesamt zeigt sich, dass konservative christliche Strömungen in Deutschland verstärkt politische Positionierungen artikulieren, „[…] vor allem seit es für diese grundsätzliche Skepsis an der liberalen Demokratie eine Option im Parteienspektrum gibt“ </w:t>
      </w:r>
      <w:r w:rsidRPr="00496E39">
        <w:rPr>
          <w:rFonts w:cs="Calibri"/>
        </w:rPr>
        <w:fldChar w:fldCharType="begin"/>
      </w:r>
      <w:r w:rsidRPr="00496E39">
        <w:rPr>
          <w:rFonts w:cs="Calibri"/>
        </w:rPr>
        <w:instrText xml:space="preserve"> ADDIN ZOTERO_ITEM CSL_CITATION {"citationID":"a2a3knuaq97","properties":{"formattedCitation":"(Dietz 2017)","plainCitation":"(Dietz 2017)","dontUpdate":true,"noteIndex":0},"citationItems":[{"id":246,"uris":["http://zotero.org/users/14566843/items/N2G6YZEX"],"itemData":{"id":246,"type":"article-magazine","container-title":"Bundeszentrale für politische Bildung.","title":"Religiosität unter Russlanddeutschen.","URL":"https://www.bpb.de/themen/migration-integration/kurzdossiers/252539/religiositaet-unter-russlanddeutschen/","author":[{"family":"Dietz","given":"B"}],"issued":{"date-parts":[["2017"]]}}}],"schema":"https://github.com/citation-style-language/schema/raw/master/csl-citation.json"} </w:instrText>
      </w:r>
      <w:r w:rsidRPr="00496E39">
        <w:rPr>
          <w:rFonts w:cs="Calibri"/>
        </w:rPr>
        <w:fldChar w:fldCharType="separate"/>
      </w:r>
      <w:r w:rsidRPr="00496E39">
        <w:rPr>
          <w:rFonts w:cs="Calibri"/>
        </w:rPr>
        <w:t>(Dietz 2019, 97)</w:t>
      </w:r>
      <w:r w:rsidRPr="00496E39">
        <w:rPr>
          <w:rFonts w:cs="Calibri"/>
        </w:rPr>
        <w:fldChar w:fldCharType="end"/>
      </w:r>
      <w:r w:rsidRPr="00496E39">
        <w:rPr>
          <w:rFonts w:cs="Calibri"/>
        </w:rPr>
        <w:t xml:space="preserve">. Diese Entwicklung bildet eine bedeutende Schnittstelle zur Frage nach dem Verhältnis zwischen religiösem Fundamentalismus, möglichen Anschlussstellen an radikalisierungsanfällige politische Milieus sowie demokratischer Resilienz und präventiver Bildungsarbeit. </w:t>
      </w:r>
    </w:p>
    <w:p w14:paraId="5D289900" w14:textId="77777777" w:rsidR="00A768F4" w:rsidRPr="00496E39" w:rsidRDefault="00A768F4" w:rsidP="00A768F4">
      <w:pPr>
        <w:tabs>
          <w:tab w:val="left" w:pos="5217"/>
        </w:tabs>
        <w:spacing w:line="276" w:lineRule="auto"/>
        <w:jc w:val="both"/>
        <w:rPr>
          <w:rFonts w:cs="Calibri"/>
        </w:rPr>
      </w:pPr>
      <w:r w:rsidRPr="00496E39">
        <w:rPr>
          <w:rFonts w:cs="Calibri"/>
        </w:rPr>
        <w:t xml:space="preserve">Wie bereits am Beispiel der USA sichtbar geworden ist, stellen rechtspopulistische und rechtsextreme Positionen auch innerhalb fundamentalistisch und evangelikal geprägter Milieus eine reale Option dar </w:t>
      </w:r>
      <w:r w:rsidRPr="00496E39">
        <w:rPr>
          <w:rFonts w:cs="Calibri"/>
        </w:rPr>
        <w:fldChar w:fldCharType="begin"/>
      </w:r>
      <w:r w:rsidRPr="00496E39">
        <w:rPr>
          <w:rFonts w:cs="Calibri"/>
        </w:rPr>
        <w:instrText xml:space="preserve"> ADDIN ZOTERO_ITEM CSL_CITATION {"citationID":"a257plvpooq","properties":{"formattedCitation":"\\uldash{(Rebenstorf 2018)}","plainCitation":"(Rebenstorf 2018)","dontUpdate":true,"noteIndex":0},"citationItems":[{"id":373,"uris":["http://zotero.org/users/14566843/items/QARFWRTC"],"itemData":{"id":373,"type":"article-journal","container-title":"Zeitschrift für Religion, Gesellschaft und Politik","DOI":"10.1007/s41682-018-0024-z","ISSN":"2510-1218, 2510-1226","issue":"2","journalAbbreviation":"Z Religion Ges Polit","language":"de","page":"313-333","source":"DOI.org (Crossref)","title":"„Rechte“ Christen? – Empirische Analysen zur Affinität christlich-religiöser und rechtspopulistischer Positionen","title-short":"„Rechte“ Christen?","volume":"2","author":[{"family":"Rebenstorf","given":"Hilke"}],"issued":{"date-parts":[["2018",12]]}}}],"schema":"https://github.com/citation-style-language/schema/raw/master/csl-citation.json"} </w:instrText>
      </w:r>
      <w:r w:rsidRPr="00496E39">
        <w:rPr>
          <w:rFonts w:cs="Calibri"/>
        </w:rPr>
        <w:fldChar w:fldCharType="separate"/>
      </w:r>
      <w:r w:rsidRPr="00496E39">
        <w:rPr>
          <w:rFonts w:cs="Calibri"/>
        </w:rPr>
        <w:t>(Rebenstorf 2018, 314-316;</w:t>
      </w:r>
      <w:r w:rsidRPr="00496E39">
        <w:rPr>
          <w:rFonts w:cs="Calibri"/>
        </w:rPr>
        <w:fldChar w:fldCharType="end"/>
      </w:r>
      <w:r w:rsidRPr="00496E39">
        <w:rPr>
          <w:rFonts w:cs="Calibri"/>
        </w:rPr>
        <w:t xml:space="preserve"> </w:t>
      </w:r>
      <w:r w:rsidRPr="00496E39">
        <w:rPr>
          <w:rFonts w:cs="Calibri"/>
        </w:rPr>
        <w:fldChar w:fldCharType="begin"/>
      </w:r>
      <w:r w:rsidRPr="00496E39">
        <w:rPr>
          <w:rFonts w:cs="Calibri"/>
        </w:rPr>
        <w:instrText xml:space="preserve"> ADDIN ZOTERO_ITEM CSL_CITATION {"citationID":"a1rfcfb6mrm","properties":{"formattedCitation":"\\uldash{(Bednarz 2018)}","plainCitation":"(Bednarz 2018)","dontUpdate":true,"noteIndex":0},"citationItems":[{"id":371,"uris":["http://zotero.org/users/14566843/items/ZHANSQLX"],"itemData":{"id":371,"type":"book","abstract":"\"Religion und Politik: Welchen Einfluss haben rechte Christen in Deutschland? In ihrem politischen Debattenbuch beschreibt Liane Bednarz, wie Teile der evangelischen, evangelikalen und katholischen Christen seit Jahren rechtes Gedankengut annehmen und verbreiten. Diese Art von Fundamentalismus nutzt das bürgerliche Vertrauen in die christliche Religion und ihre Kirchen, um die bürgerliche Mitte mit rechten Ideen zu infiltrieren und einen Kreuzzug gegen Pluralismus und Toleranz zu führen. Rechte Christen sind seit Jahren auf dem Vormarsch. Sie sind in den Volkskirchen und in evangelikalen Gruppierungen zu Hause, sie haben ein klares Feindbild und meinen, damit das christliche Abendland zu schützen. Rechte Christen kämpfen gegen die angebliche Islamisierung, gegen Zuwanderung und Migration, gegen die Ehe für alle, Homosexualität, Gender Mainstreaming, Gleichberechtigung und Abtreibung, ein zeitgemäßes Familienbild und zu liberale Haltungen in den großen Kirchen. Die Verbindungen zur rechten populistischen Szene sind zum Teil fließend; die Angstprediger zeigen bisweilen offene Sympathie für Pegida, die AfD und die vom Verfassungsschutz beobachtete Identitäre Bewegung. In ihrem Debattenbuch deckt Liane Bednarz die Netzwerke der rechten Christen auf, beschreibt ihre Feindbilder, Überzeugungen und Aktionsformen und warnt vor den gesellschaftlichen Konsequenzen dieser Instrumentalisierung von Religion.\" (Verlagsinformation)","event-place":"München","ISBN":"978-3-426-27762-1","language":"ger","number-of-pages":"255","publisher":"Droemer Knaur","publisher-place":"München","source":"K10plus ISBN","title":"Die Angstprediger: wie rechte Christen Gesellschaft und Kirchen unterwandern","title-short":"Die Angstprediger","author":[{"family":"Bednarz","given":"Liane"}],"issued":{"date-parts":[["2018"]]}}}],"schema":"https://github.com/citation-style-language/schema/raw/master/csl-citation.json"} </w:instrText>
      </w:r>
      <w:r w:rsidRPr="00496E39">
        <w:rPr>
          <w:rFonts w:cs="Calibri"/>
        </w:rPr>
        <w:fldChar w:fldCharType="separate"/>
      </w:r>
      <w:r w:rsidRPr="00496E39">
        <w:rPr>
          <w:rFonts w:cs="Calibri"/>
        </w:rPr>
        <w:t>Bednarz 2018, 33-43)</w:t>
      </w:r>
      <w:r w:rsidRPr="00496E39">
        <w:rPr>
          <w:rFonts w:cs="Calibri"/>
        </w:rPr>
        <w:fldChar w:fldCharType="end"/>
      </w:r>
      <w:r w:rsidRPr="00496E39">
        <w:rPr>
          <w:rFonts w:cs="Calibri"/>
        </w:rPr>
        <w:t>. In Deutschland zeigen sich spätestens seit den Protesten gegen die Maßnahmen der Bundesregierung zur Eindämmung der Corona-Pandemie und dem Erstarken von Bewegungen</w:t>
      </w:r>
      <w:r>
        <w:rPr>
          <w:rFonts w:cs="Calibri"/>
        </w:rPr>
        <w:t>,</w:t>
      </w:r>
      <w:r w:rsidRPr="00496E39">
        <w:rPr>
          <w:rFonts w:cs="Calibri"/>
        </w:rPr>
        <w:t xml:space="preserve"> wie </w:t>
      </w:r>
      <w:r w:rsidRPr="00496E39">
        <w:rPr>
          <w:rFonts w:cs="Calibri"/>
          <w:i/>
          <w:iCs/>
        </w:rPr>
        <w:t>Pegida</w:t>
      </w:r>
      <w:r w:rsidRPr="00C9124B">
        <w:rPr>
          <w:rFonts w:cs="Calibri"/>
        </w:rPr>
        <w:t>,</w:t>
      </w:r>
      <w:r w:rsidRPr="00496E39">
        <w:rPr>
          <w:rFonts w:cs="Calibri"/>
        </w:rPr>
        <w:t xml:space="preserve"> deutliche Überschneidungen zwischen christlich-fundamentalistischen Gruppen und rechten Diskursen. Begriffe</w:t>
      </w:r>
      <w:r>
        <w:rPr>
          <w:rFonts w:cs="Calibri"/>
        </w:rPr>
        <w:t>,</w:t>
      </w:r>
      <w:r w:rsidRPr="00496E39">
        <w:rPr>
          <w:rFonts w:cs="Calibri"/>
        </w:rPr>
        <w:t xml:space="preserve"> wie „christliche Rechte“ </w:t>
      </w:r>
      <w:r w:rsidRPr="00496E39">
        <w:rPr>
          <w:rFonts w:cs="Calibri"/>
        </w:rPr>
        <w:fldChar w:fldCharType="begin"/>
      </w:r>
      <w:r w:rsidRPr="00496E39">
        <w:rPr>
          <w:rFonts w:cs="Calibri"/>
        </w:rPr>
        <w:instrText xml:space="preserve"> ADDIN ZOTERO_ITEM CSL_CITATION {"citationID":"20pvnDik","properties":{"formattedCitation":"(Rudolphi 2023)","plainCitation":"(Rudolphi 2023)","dontUpdate":true,"noteIndex":0},"citationItems":[{"id":325,"uris":["http://zotero.org/users/14566843/items/KWHCS7FE"],"itemData":{"id":325,"type":"article-journal","container-title":"Zeitschrift für Religion und Weltanschauung (ZRW)","DOI":"10.5771/0721-2402-2023-5-359","ISSN":"0721-2402","issue":"5","journalAbbreviation":"ZRW","page":"359-375","source":"DOI.org (Crossref)","title":"Der Staat als „Tyrann“ – Kirche und Staat im rechten Christentum","volume":"86","author":[{"family":"Rudolphi","given":"Daniel"}],"issued":{"date-parts":[["2023"]]}}}],"schema":"https://github.com/citation-style-language/schema/raw/master/csl-citation.json"} </w:instrText>
      </w:r>
      <w:r w:rsidRPr="00496E39">
        <w:rPr>
          <w:rFonts w:cs="Calibri"/>
        </w:rPr>
        <w:fldChar w:fldCharType="separate"/>
      </w:r>
      <w:r w:rsidRPr="00496E39">
        <w:rPr>
          <w:rFonts w:cs="Calibri"/>
        </w:rPr>
        <w:t>(Rudolphi 2023, 359)</w:t>
      </w:r>
      <w:r w:rsidRPr="00496E39">
        <w:rPr>
          <w:rFonts w:cs="Calibri"/>
        </w:rPr>
        <w:fldChar w:fldCharType="end"/>
      </w:r>
      <w:r>
        <w:rPr>
          <w:rFonts w:cs="Calibri"/>
        </w:rPr>
        <w:t>,</w:t>
      </w:r>
      <w:r w:rsidRPr="00496E39">
        <w:rPr>
          <w:rFonts w:cs="Calibri"/>
        </w:rPr>
        <w:t xml:space="preserve"> verweisen auf zumeist lose Netzwerke, in denen sich religiös motivierte Kritik am Staat mit verschwörungsideologischen und autoritären Tendenzen vermischt. Die Motive für die Hinwendung zu solchen Milieus sind vielfältig: Säkularisierungstendenzen, Ablehnung liberaler Gesellschaftsentwürfe, etwa der gleichgeschlechtlichen Ehe, Kritik an Einwanderung und ein konservatives Familien- und Geschlechterbild zählen zu den häufig genannten Motiven. Trotz teils erheblicher Differenzen vereint diese Gruppen eine gemeinsame Gegner:innenschaft: „Sie alle finden, unbeschadet gravierender Differenzen, in der Opposition gegen den ‚Mainstream‘ in Politik und Kirchen zusammen“, </w:t>
      </w:r>
      <w:r w:rsidRPr="00496E39">
        <w:rPr>
          <w:rFonts w:cs="Calibri"/>
        </w:rPr>
        <w:fldChar w:fldCharType="begin"/>
      </w:r>
      <w:r w:rsidRPr="00496E39">
        <w:rPr>
          <w:rFonts w:cs="Calibri"/>
        </w:rPr>
        <w:instrText xml:space="preserve"> ADDIN ZOTERO_ITEM CSL_CITATION {"citationID":"a1j3ebe6cf5","properties":{"formattedCitation":"\\uldash{(Fritz 2025)}","plainCitation":"(Fritz 2025)","dontUpdate":true,"noteIndex":0},"citationItems":[{"id":390,"uris":["http://zotero.org/users/14566843/items/RPEXVPJH"],"itemData":{"id":390,"type":"article-journal","container-title":"Zeitschrift für Religion und Weltanschauung","DOI":"https://doi.org/10.5771/0721-2402-2024-1-65","issue":"87","page":"65-69","title":"Rechtes Christentum","volume":"16","author":[{"family":"Fritz","given":"Martin"}],"issued":{"date-parts":[["2025"]]}}}],"schema":"https://github.com/citation-style-language/schema/raw/master/csl-citation.json"} </w:instrText>
      </w:r>
      <w:r w:rsidRPr="00496E39">
        <w:rPr>
          <w:rFonts w:cs="Calibri"/>
        </w:rPr>
        <w:fldChar w:fldCharType="separate"/>
      </w:r>
      <w:r w:rsidRPr="00496E39">
        <w:rPr>
          <w:rFonts w:cs="Calibri"/>
        </w:rPr>
        <w:t>(Fritz 2025, 67)</w:t>
      </w:r>
      <w:r w:rsidRPr="00496E39">
        <w:rPr>
          <w:rFonts w:cs="Calibri"/>
        </w:rPr>
        <w:fldChar w:fldCharType="end"/>
      </w:r>
      <w:r w:rsidRPr="00496E39">
        <w:rPr>
          <w:rFonts w:cs="Calibri"/>
        </w:rPr>
        <w:fldChar w:fldCharType="begin"/>
      </w:r>
      <w:r w:rsidRPr="00496E39">
        <w:rPr>
          <w:rFonts w:cs="Calibri"/>
        </w:rPr>
        <w:instrText xml:space="preserve"> ADDIN ZOTERO_ITEM CSL_CITATION {"citationID":"ZXUItsfa","properties":{"formattedCitation":"(Fritz 2024)","plainCitation":"(Fritz 2024)","dontUpdate":true,"noteIndex":0},"citationItems":[{"id":"j9NtXmhe/6nkGeaNu","uris":["http://zotero.org/users/14566843/items/AWZ7SP2R"],"itemData":{"id":195,"type":"entry-dictionary","container-title":"Lexikon für Religion und Weltanschauung (EZW)","publisher":"Evangelische Zentralstelle für Weltanschauungsfragen.","title":"Rechtes Christentum.","URL":"https://www.ezw-berlin.de/publikationen/lexikon/rechtes-christentum-lexikon-fuer-religion-und-weltanschauung-2/","author":[{"family":"Fritz","given":"Martin"}],"accessed":{"date-parts":[["2025",6,17]]},"issued":{"date-parts":[["2024"]]}}}],"schema":"https://github.com/citation-style-language/schema/raw/master/csl-citation.json"} </w:instrText>
      </w:r>
      <w:r w:rsidRPr="00496E39">
        <w:rPr>
          <w:rFonts w:cs="Calibri"/>
        </w:rPr>
        <w:fldChar w:fldCharType="separate"/>
      </w:r>
      <w:r w:rsidRPr="00496E39">
        <w:rPr>
          <w:rFonts w:cs="Calibri"/>
        </w:rPr>
        <w:fldChar w:fldCharType="end"/>
      </w:r>
      <w:r w:rsidRPr="00496E39">
        <w:rPr>
          <w:rFonts w:cs="Calibri"/>
        </w:rPr>
        <w:t xml:space="preserve">. Fundamentalistische Vorstellungen eines </w:t>
      </w:r>
      <w:r w:rsidRPr="00496E39">
        <w:rPr>
          <w:rFonts w:cs="Calibri"/>
          <w:i/>
          <w:iCs/>
        </w:rPr>
        <w:t>bewahrenden Christentums</w:t>
      </w:r>
      <w:r w:rsidRPr="00496E39">
        <w:rPr>
          <w:rFonts w:cs="Calibri"/>
        </w:rPr>
        <w:t xml:space="preserve"> überschneiden sich dabei zunehmend mit rechten Identitätsentwürfen; insbesondere in der Vorstellung des christlichen Abendlands als gefährdete kulturelle Einheit in Demarkation zum Islam. Trotz dieser Hinweise auf Überschneidungen zwischen rechten und fundamentalistischen </w:t>
      </w:r>
      <w:proofErr w:type="gramStart"/>
      <w:r w:rsidRPr="00496E39">
        <w:rPr>
          <w:rFonts w:cs="Calibri"/>
        </w:rPr>
        <w:t>Akteur:innen</w:t>
      </w:r>
      <w:proofErr w:type="gramEnd"/>
      <w:r>
        <w:rPr>
          <w:rFonts w:cs="Calibri"/>
        </w:rPr>
        <w:t>,</w:t>
      </w:r>
      <w:r w:rsidRPr="00496E39">
        <w:rPr>
          <w:rFonts w:cs="Calibri"/>
        </w:rPr>
        <w:t xml:space="preserve"> fehlt es bislang an einer breiteren wissenschaftlichen Auseinandersetzung mit diesen Verbindungslinien.</w:t>
      </w:r>
    </w:p>
    <w:p w14:paraId="79828730" w14:textId="77777777" w:rsidR="00A768F4" w:rsidRPr="00CF14DD" w:rsidRDefault="00A768F4" w:rsidP="00DA6E88">
      <w:pPr>
        <w:pStyle w:val="berschrift3"/>
        <w:numPr>
          <w:ilvl w:val="0"/>
          <w:numId w:val="0"/>
        </w:numPr>
        <w:spacing w:after="160"/>
        <w:ind w:left="720" w:hanging="720"/>
        <w:rPr>
          <w:rFonts w:asciiTheme="majorHAnsi" w:hAnsiTheme="majorHAnsi" w:cstheme="majorHAnsi"/>
          <w:color w:val="016D72"/>
          <w:sz w:val="24"/>
          <w:szCs w:val="24"/>
        </w:rPr>
      </w:pPr>
      <w:bookmarkStart w:id="90" w:name="_Toc215819947"/>
      <w:r w:rsidRPr="00CF14DD">
        <w:rPr>
          <w:rFonts w:asciiTheme="majorHAnsi" w:hAnsiTheme="majorHAnsi" w:cstheme="majorHAnsi"/>
          <w:color w:val="016D72"/>
          <w:sz w:val="24"/>
          <w:szCs w:val="24"/>
        </w:rPr>
        <w:t>5.3.3. Pädagogische Dimension</w:t>
      </w:r>
      <w:bookmarkEnd w:id="90"/>
    </w:p>
    <w:p w14:paraId="1F8935C0" w14:textId="77777777" w:rsidR="00A768F4" w:rsidRDefault="00A768F4" w:rsidP="00A768F4">
      <w:pPr>
        <w:tabs>
          <w:tab w:val="left" w:pos="5217"/>
        </w:tabs>
        <w:spacing w:line="276" w:lineRule="auto"/>
        <w:jc w:val="both"/>
        <w:rPr>
          <w:rFonts w:cs="Calibri"/>
        </w:rPr>
      </w:pPr>
      <w:r w:rsidRPr="00496E39">
        <w:rPr>
          <w:rFonts w:cs="Calibri"/>
          <w:color w:val="000000" w:themeColor="text1"/>
        </w:rPr>
        <w:t xml:space="preserve">Die </w:t>
      </w:r>
      <w:r w:rsidRPr="00496E39">
        <w:rPr>
          <w:rFonts w:cs="Calibri"/>
        </w:rPr>
        <w:t xml:space="preserve">Verbreitung fundamentalistischer Botschaften über </w:t>
      </w:r>
      <w:r>
        <w:rPr>
          <w:rFonts w:cs="Calibri"/>
        </w:rPr>
        <w:t>S</w:t>
      </w:r>
      <w:r w:rsidRPr="00496E39">
        <w:rPr>
          <w:rFonts w:cs="Calibri"/>
        </w:rPr>
        <w:t xml:space="preserve">oziale Medien und besonders durch </w:t>
      </w:r>
      <w:proofErr w:type="gramStart"/>
      <w:r w:rsidRPr="004F492F">
        <w:rPr>
          <w:rFonts w:cs="Calibri"/>
        </w:rPr>
        <w:t>Christfluencer:innen</w:t>
      </w:r>
      <w:proofErr w:type="gramEnd"/>
      <w:r w:rsidRPr="00496E39">
        <w:rPr>
          <w:rFonts w:cs="Calibri"/>
        </w:rPr>
        <w:t xml:space="preserve"> lässt sich sowohl der historisch-politischen Dimension als auch, aufgrund des Einflusses auf die Lebenswelt junger Menschen, der pädagogischen Dimension zuordnen. Diese digitale Ebene der Internationalisierung prägt zunehmend die Vermittlung epistemologischer Orientierungen und Glaubensüberzeugungen: Soziale Medien fungieren als religiöse Sozialisationsräume, insbesondere für Jugendliche. Digitale Räume stellen längst auch Bildungsräume mit eigener Reichweite und Einflussdynamik dar. Der Jahresbericht der Sekten Info NRW (2024) beschreibt, wie konservativ bis fundamentalistisch geprägte </w:t>
      </w:r>
      <w:proofErr w:type="gramStart"/>
      <w:r w:rsidRPr="00496E39">
        <w:rPr>
          <w:rFonts w:cs="Calibri"/>
        </w:rPr>
        <w:t>Influencer:innen</w:t>
      </w:r>
      <w:proofErr w:type="gramEnd"/>
      <w:r w:rsidRPr="00496E39">
        <w:rPr>
          <w:rFonts w:cs="Calibri"/>
        </w:rPr>
        <w:t xml:space="preserve"> dort gezielt missionieren. Einzelne Akteur:innen bespielen dabei Themen wie Antifeminismus oder die Debatten </w:t>
      </w:r>
      <w:r w:rsidRPr="00496E39">
        <w:rPr>
          <w:rFonts w:cs="Calibri"/>
        </w:rPr>
        <w:lastRenderedPageBreak/>
        <w:t xml:space="preserve">um den Kampfbegriff </w:t>
      </w:r>
      <w:r w:rsidRPr="00496E39">
        <w:rPr>
          <w:rFonts w:cs="Calibri"/>
          <w:i/>
          <w:iCs/>
        </w:rPr>
        <w:t>Genderwahn</w:t>
      </w:r>
      <w:r w:rsidRPr="00496E39">
        <w:rPr>
          <w:rFonts w:cs="Calibri"/>
        </w:rPr>
        <w:t xml:space="preserve">, die sowohl in fundamentalistisch-christlichen als auch neurechten Milieus anschlussfähig sind </w:t>
      </w:r>
      <w:r w:rsidRPr="00496E39">
        <w:rPr>
          <w:rFonts w:cs="Calibri"/>
        </w:rPr>
        <w:fldChar w:fldCharType="begin"/>
      </w:r>
      <w:r w:rsidRPr="00496E39">
        <w:rPr>
          <w:rFonts w:cs="Calibri"/>
        </w:rPr>
        <w:instrText xml:space="preserve"> ADDIN ZOTERO_ITEM CSL_CITATION {"citationID":"VBCFRDHB","properties":{"formattedCitation":"(Grotepass 2025)","plainCitation":"(Grotepass 2025)","dontUpdate":true,"noteIndex":0},"citationItems":[{"id":326,"uris":["http://zotero.org/users/14566843/items/BSF5ZTVR"],"itemData":{"id":326,"type":"report","publisher":"Sekten Info NRW","title":"Bericht über die Arbeit des Sekten-Info Nordrhein-Westfalen e.V. und über Aktivitäten konfliktträchtiger religiöser Gemeinschaften in 2024","author":[{"family":"Grotepass","given":"Christoph"}],"accessed":{"date-parts":[["2025",7,30]]},"issued":{"date-parts":[["2025"]]}}}],"schema":"https://github.com/citation-style-language/schema/raw/master/csl-citation.json"} </w:instrText>
      </w:r>
      <w:r w:rsidRPr="00496E39">
        <w:rPr>
          <w:rFonts w:cs="Calibri"/>
        </w:rPr>
        <w:fldChar w:fldCharType="separate"/>
      </w:r>
      <w:r w:rsidRPr="00496E39">
        <w:rPr>
          <w:rFonts w:cs="Calibri"/>
          <w:noProof/>
        </w:rPr>
        <w:t>(Grotepass 2025, 16-17)</w:t>
      </w:r>
      <w:r w:rsidRPr="00496E39">
        <w:rPr>
          <w:rFonts w:cs="Calibri"/>
        </w:rPr>
        <w:fldChar w:fldCharType="end"/>
      </w:r>
      <w:r w:rsidRPr="00496E39">
        <w:rPr>
          <w:rFonts w:cs="Calibri"/>
        </w:rPr>
        <w:t xml:space="preserve">. </w:t>
      </w:r>
    </w:p>
    <w:p w14:paraId="6DDFBD38" w14:textId="77777777" w:rsidR="00A768F4" w:rsidRPr="00496E39" w:rsidRDefault="00A768F4" w:rsidP="00A768F4">
      <w:pPr>
        <w:tabs>
          <w:tab w:val="left" w:pos="5217"/>
        </w:tabs>
        <w:spacing w:line="276" w:lineRule="auto"/>
        <w:jc w:val="both"/>
        <w:rPr>
          <w:rFonts w:cs="Calibri"/>
          <w:highlight w:val="yellow"/>
        </w:rPr>
      </w:pPr>
      <w:r w:rsidRPr="00496E39">
        <w:rPr>
          <w:rFonts w:cs="Calibri"/>
        </w:rPr>
        <w:t xml:space="preserve">An dieser Stelle kann </w:t>
      </w:r>
      <w:r>
        <w:rPr>
          <w:rFonts w:cs="Calibri"/>
        </w:rPr>
        <w:t>sogar</w:t>
      </w:r>
      <w:r w:rsidRPr="00496E39">
        <w:rPr>
          <w:rFonts w:cs="Calibri"/>
        </w:rPr>
        <w:t xml:space="preserve"> eine Kontaktstelle zwischen den zuvor </w:t>
      </w:r>
      <w:r>
        <w:rPr>
          <w:rFonts w:cs="Calibri"/>
        </w:rPr>
        <w:t>d</w:t>
      </w:r>
      <w:r w:rsidRPr="00496E39">
        <w:rPr>
          <w:rFonts w:cs="Calibri"/>
        </w:rPr>
        <w:t xml:space="preserve">ifferenzierten </w:t>
      </w:r>
      <w:r w:rsidRPr="00496E39">
        <w:rPr>
          <w:rFonts w:cs="Calibri"/>
          <w:i/>
          <w:iCs/>
        </w:rPr>
        <w:t xml:space="preserve">klassisch </w:t>
      </w:r>
      <w:r w:rsidRPr="00496E39">
        <w:rPr>
          <w:rFonts w:cs="Calibri"/>
        </w:rPr>
        <w:t>und</w:t>
      </w:r>
      <w:r w:rsidRPr="00496E39">
        <w:rPr>
          <w:rFonts w:cs="Calibri"/>
          <w:i/>
          <w:iCs/>
        </w:rPr>
        <w:t xml:space="preserve"> lifestyle</w:t>
      </w:r>
      <w:r w:rsidRPr="00496E39">
        <w:rPr>
          <w:rFonts w:cs="Calibri"/>
        </w:rPr>
        <w:t xml:space="preserve">-orientierten fundamentalistischen Gemeinschaften entstehen. In Anlehnung an Martin Riesebrodt </w:t>
      </w:r>
      <w:r w:rsidRPr="00496E39">
        <w:rPr>
          <w:rFonts w:cs="Calibri"/>
        </w:rPr>
        <w:fldChar w:fldCharType="begin"/>
      </w:r>
      <w:r w:rsidRPr="00496E39">
        <w:rPr>
          <w:rFonts w:cs="Calibri"/>
        </w:rPr>
        <w:instrText xml:space="preserve"> ADDIN ZOTERO_ITEM CSL_CITATION {"citationID":"av1p21hcjc","properties":{"formattedCitation":"\\uldash{(Riesebrodt 1998)}","plainCitation":"(Riesebrodt 1998)","dontUpdate":true,"noteIndex":0},"citationItems":[{"id":380,"uris":["http://zotero.org/users/14566843/items/JPCKICX4"],"itemData":{"id":380,"type":"book","collection-number":"6","collection-title":"Comparative studies in religion and society","event-place":"Berkeley Los Angeles London $nUniversity of California Press","ISBN":"978-0-520-07464-4","language":"eng","number-of-pages":"262","publisher-place":"Berkeley Los Angeles London $nUniversity of California Press","source":"K10plus ISBN","title":"Pious passion: the emergence of modern fundamentalism in the United States and Iran","title-short":"Pious passion","author":[{"family":"Riesebrodt","given":"Martin"}],"translator":[{"family":"Reneau","given":"Don"}],"issued":{"date-parts":[["1998"]]}}}],"schema":"https://github.com/citation-style-language/schema/raw/master/csl-citation.json"} </w:instrText>
      </w:r>
      <w:r w:rsidRPr="00496E39">
        <w:rPr>
          <w:rFonts w:cs="Calibri"/>
        </w:rPr>
        <w:fldChar w:fldCharType="separate"/>
      </w:r>
      <w:r w:rsidRPr="00496E39">
        <w:rPr>
          <w:rFonts w:cs="Calibri"/>
        </w:rPr>
        <w:t>(1998,</w:t>
      </w:r>
      <w:r w:rsidRPr="00496E39">
        <w:rPr>
          <w:rFonts w:cs="Calibri"/>
        </w:rPr>
        <w:fldChar w:fldCharType="end"/>
      </w:r>
      <w:r w:rsidRPr="00496E39">
        <w:rPr>
          <w:rFonts w:cs="Calibri"/>
        </w:rPr>
        <w:t xml:space="preserve"> 18-19) konkreter</w:t>
      </w:r>
      <w:r>
        <w:rPr>
          <w:rFonts w:cs="Calibri"/>
        </w:rPr>
        <w:t xml:space="preserve"> formuliert:</w:t>
      </w:r>
      <w:r w:rsidRPr="00496E39">
        <w:rPr>
          <w:rFonts w:cs="Calibri"/>
        </w:rPr>
        <w:t xml:space="preserve"> eine Verknüpfung zwischen einer sich der Welt</w:t>
      </w:r>
      <w:r>
        <w:rPr>
          <w:rFonts w:cs="Calibri"/>
        </w:rPr>
        <w:t xml:space="preserve"> </w:t>
      </w:r>
      <w:r w:rsidRPr="00496E39">
        <w:rPr>
          <w:rFonts w:cs="Calibri"/>
        </w:rPr>
        <w:t>entsagenden (</w:t>
      </w:r>
      <w:r>
        <w:rPr>
          <w:rFonts w:cs="Calibri"/>
        </w:rPr>
        <w:t>„</w:t>
      </w:r>
      <w:r w:rsidRPr="00496E39">
        <w:rPr>
          <w:rFonts w:cs="Calibri"/>
        </w:rPr>
        <w:t>flight from the world</w:t>
      </w:r>
      <w:r>
        <w:rPr>
          <w:rFonts w:cs="Calibri"/>
        </w:rPr>
        <w:t>“</w:t>
      </w:r>
      <w:r w:rsidRPr="00496E39">
        <w:rPr>
          <w:rFonts w:cs="Calibri"/>
        </w:rPr>
        <w:t>), sich zentral der eigenen Community zuwendenden Strömung und einer die Welt</w:t>
      </w:r>
      <w:r>
        <w:rPr>
          <w:rFonts w:cs="Calibri"/>
        </w:rPr>
        <w:t xml:space="preserve"> </w:t>
      </w:r>
      <w:r w:rsidRPr="00496E39">
        <w:rPr>
          <w:rFonts w:cs="Calibri"/>
        </w:rPr>
        <w:t>suchenden  (</w:t>
      </w:r>
      <w:r>
        <w:rPr>
          <w:rFonts w:cs="Calibri"/>
        </w:rPr>
        <w:t>„</w:t>
      </w:r>
      <w:r w:rsidRPr="00496E39">
        <w:rPr>
          <w:rFonts w:cs="Calibri"/>
        </w:rPr>
        <w:t>mastery of the world</w:t>
      </w:r>
      <w:r>
        <w:rPr>
          <w:rFonts w:cs="Calibri"/>
        </w:rPr>
        <w:t>“</w:t>
      </w:r>
      <w:r w:rsidRPr="00496E39">
        <w:rPr>
          <w:rFonts w:cs="Calibri"/>
        </w:rPr>
        <w:t xml:space="preserve">), </w:t>
      </w:r>
      <w:r>
        <w:rPr>
          <w:rFonts w:cs="Calibri"/>
        </w:rPr>
        <w:t>die</w:t>
      </w:r>
      <w:r w:rsidRPr="00496E39">
        <w:rPr>
          <w:rFonts w:cs="Calibri"/>
        </w:rPr>
        <w:t xml:space="preserve"> ihre epistemologischen Ideale missionarisch in die Welt tragen </w:t>
      </w:r>
      <w:r>
        <w:rPr>
          <w:rFonts w:cs="Calibri"/>
        </w:rPr>
        <w:t>will</w:t>
      </w:r>
      <w:r w:rsidRPr="00496E39">
        <w:rPr>
          <w:rFonts w:cs="Calibri"/>
        </w:rPr>
        <w:t>. Junge Menschen aus klassisch fundamentalistischen Gemeinschaften werden also von (im Format) modernen Gemeinschaften angesprochen und ermutigt</w:t>
      </w:r>
      <w:r>
        <w:rPr>
          <w:rFonts w:cs="Calibri"/>
        </w:rPr>
        <w:t>,</w:t>
      </w:r>
      <w:r w:rsidRPr="00496E39">
        <w:rPr>
          <w:rFonts w:cs="Calibri"/>
        </w:rPr>
        <w:t xml:space="preserve"> auch andere Menschen aktiv anzusprechen und zu missionieren. </w:t>
      </w:r>
    </w:p>
    <w:p w14:paraId="3B6B0F92" w14:textId="77777777" w:rsidR="00A768F4" w:rsidRPr="00496E39" w:rsidRDefault="00A768F4" w:rsidP="00A768F4">
      <w:pPr>
        <w:tabs>
          <w:tab w:val="left" w:pos="6203"/>
        </w:tabs>
        <w:spacing w:line="276" w:lineRule="auto"/>
        <w:jc w:val="both"/>
        <w:rPr>
          <w:rFonts w:cs="Calibri"/>
        </w:rPr>
      </w:pPr>
      <w:r w:rsidRPr="00496E39">
        <w:rPr>
          <w:rFonts w:cs="Calibri"/>
        </w:rPr>
        <w:t xml:space="preserve">Wird der Blick auf die systematischen </w:t>
      </w:r>
      <w:r>
        <w:rPr>
          <w:rFonts w:cs="Calibri"/>
        </w:rPr>
        <w:t>Unterschiede zwischen</w:t>
      </w:r>
      <w:r w:rsidRPr="00496E39">
        <w:rPr>
          <w:rFonts w:cs="Calibri"/>
        </w:rPr>
        <w:t xml:space="preserve"> den USA und Deutschland gerichtet, ist der wohl deutlichste, dass </w:t>
      </w:r>
      <w:r>
        <w:rPr>
          <w:rFonts w:cs="Calibri"/>
        </w:rPr>
        <w:t>–</w:t>
      </w:r>
      <w:r w:rsidRPr="00496E39">
        <w:rPr>
          <w:rFonts w:cs="Calibri"/>
        </w:rPr>
        <w:t xml:space="preserve"> im Gegensatz zu den USA </w:t>
      </w:r>
      <w:r>
        <w:rPr>
          <w:rFonts w:cs="Calibri"/>
        </w:rPr>
        <w:t xml:space="preserve">– </w:t>
      </w:r>
      <w:r w:rsidRPr="00496E39">
        <w:rPr>
          <w:rFonts w:cs="Calibri"/>
        </w:rPr>
        <w:t xml:space="preserve">Homeschooling in Deutschland gesetzlich nicht zulässig ist. Dennoch gibt es Versuche, diese Regelungen zu umgehen, etwa durch einen Umzug ins Ausland oder den häufigen Wechsel von Wohnorten in verschiedenen Bundesländern. </w:t>
      </w:r>
      <w:r>
        <w:rPr>
          <w:rFonts w:cs="Calibri"/>
        </w:rPr>
        <w:t>Zugleich</w:t>
      </w:r>
      <w:r w:rsidRPr="00496E39">
        <w:rPr>
          <w:rFonts w:cs="Calibri"/>
        </w:rPr>
        <w:t xml:space="preserve"> existieren in Deutschland religiös geprägte Bildungseinrichtungen in evangelikaler Trägerschaft, die zum Teil eine ansprechende Alternative für fundamentalistisch geprägte Familien darstellen können: </w:t>
      </w:r>
    </w:p>
    <w:p w14:paraId="15412231" w14:textId="77777777" w:rsidR="00A768F4" w:rsidRPr="00496E39" w:rsidRDefault="00A768F4" w:rsidP="00A768F4">
      <w:pPr>
        <w:tabs>
          <w:tab w:val="left" w:pos="6203"/>
        </w:tabs>
        <w:spacing w:line="276" w:lineRule="auto"/>
        <w:ind w:left="720"/>
        <w:jc w:val="both"/>
        <w:rPr>
          <w:rFonts w:cs="Calibri"/>
        </w:rPr>
      </w:pPr>
      <w:r w:rsidRPr="00496E39">
        <w:rPr>
          <w:rFonts w:cs="Calibri"/>
        </w:rPr>
        <w:t xml:space="preserve">„Viele Freikirchen und evangelikale Werke sind sehr aktiv in der Kinder und Jugendarbeit und versuchen durch Freizeitangebote Möglichkeiten zu schaffen, Kinder einerseits zu fördern, andererseits mit dem Evangelium in Verbindung zu bringen“, </w:t>
      </w:r>
      <w:r w:rsidRPr="00496E39">
        <w:rPr>
          <w:rFonts w:cs="Calibri"/>
        </w:rPr>
        <w:fldChar w:fldCharType="begin"/>
      </w:r>
      <w:r w:rsidRPr="00496E39">
        <w:rPr>
          <w:rFonts w:cs="Calibri"/>
        </w:rPr>
        <w:instrText xml:space="preserve"> ADDIN ZOTERO_ITEM CSL_CITATION {"citationID":"MODx6ENd","properties":{"formattedCitation":"(Guske, o.\\uc0\\u160{}J.)","plainCitation":"(Guske, o. J.)","dontUpdate":true,"noteIndex":0},"citationItems":[{"id":327,"uris":["http://zotero.org/users/14566843/items/CUCWD7GG"],"itemData":{"id":327,"type":"book","abstract":"Politisch einflussreiche Evangelikale werden insbesondere in den USA verortet. Doch auch deutsche Evangelikale üben einen nicht zu unterschätzenden politischen Einfluss aus. Katja Guske analysiert detailliert politische Einstellungen, Aktivitäten und Handlungsstrategien der deutschen Evangelikalen. Die bisher in den Politikwissenschaften vernachlässigte Erforschung dieser wichtigen religiösen Gruppierung setzt sie ins Verhältnis zu den amerikanischen Evangelikalen und erweitert sie um eine religionskulturell vergleichende Perspektive. Die Autorin beantwortet auf der Basis zahlreicher Interviews mit deutschen Evangelikalen die Frage, ob es sich um eine fundamentalistische Bewegung handelt oder ob sie als Teil der Zivilgesellschaft an den friedlichen Aushandlungsprozessen der religiös pluralistischen und politisch säkularen deutschen Gesellschaft partizipiert. Der Inhalt Entwicklung und Ambivalenz der Säkularisierung Auswirkungen der Säkularisierung auf das Staat-Kirche-Verhältnis Die deutsche evangelikale Bewegung Deutsche Evangelikale und Politik Konfliktpunkte im Agieren der evangelikalen Bewegung Die Zielgruppen Dozierende und Studierende der Politik- und Religionswissenschaften Personen der politischen und religiösen Öffentlichkeit Die Autorin Katja Guske ist Sozialwissenschaftlerin an der Humboldt-Universität zu Berlin und Projektkoordinatorin des von der Haniel Stiftung geförderten interdisziplinären Forschungsbereichs \"Program on Religion, Politics and Economics\"","call-number":"300","collection-title":"Zwischen Bibel und Grundgesetz","ISBN":"978-3-658-03847-2","language":"ger","source":"BnF ISBN","title":"Zwischen Bibel und Grundgesetz: Die Religionspolitik der Evangelikalen in Deutschland","title-short":"Zwischen Bibel und Grundgesetz","author":[{"family":"Guske","given":"Katja"}]}}],"schema":"https://github.com/citation-style-language/schema/raw/master/csl-citation.json"} </w:instrText>
      </w:r>
      <w:r w:rsidRPr="00496E39">
        <w:rPr>
          <w:rFonts w:cs="Calibri"/>
        </w:rPr>
        <w:fldChar w:fldCharType="separate"/>
      </w:r>
      <w:r w:rsidRPr="00496E39">
        <w:rPr>
          <w:rFonts w:cs="Calibri"/>
        </w:rPr>
        <w:t>(Guske 2014, 143)</w:t>
      </w:r>
      <w:r w:rsidRPr="00496E39">
        <w:rPr>
          <w:rFonts w:cs="Calibri"/>
        </w:rPr>
        <w:fldChar w:fldCharType="end"/>
      </w:r>
      <w:r w:rsidRPr="00496E39">
        <w:rPr>
          <w:rFonts w:cs="Calibri"/>
        </w:rPr>
        <w:t xml:space="preserve">. </w:t>
      </w:r>
    </w:p>
    <w:p w14:paraId="7EC97695" w14:textId="77777777" w:rsidR="00A768F4" w:rsidRPr="00496E39" w:rsidRDefault="00A768F4" w:rsidP="00A768F4">
      <w:pPr>
        <w:tabs>
          <w:tab w:val="left" w:pos="6203"/>
        </w:tabs>
        <w:spacing w:line="276" w:lineRule="auto"/>
        <w:jc w:val="both"/>
        <w:rPr>
          <w:rFonts w:cs="Calibri"/>
        </w:rPr>
      </w:pPr>
      <w:r w:rsidRPr="00496E39">
        <w:rPr>
          <w:rFonts w:cs="Calibri"/>
        </w:rPr>
        <w:t xml:space="preserve">Auch gibt es konfessionelle Privatschulen die Bezüge zum fundamentalistischen Milieu erkennen lassen. Der Verband Evangelischer Bekenntnisschulen (VEBS) gibt an, derzeit 211 Einrichtungen an 132 Standorten zu betreiben, mit insgesamt rund 39.500 </w:t>
      </w:r>
      <w:proofErr w:type="gramStart"/>
      <w:r w:rsidRPr="00496E39">
        <w:rPr>
          <w:rFonts w:cs="Calibri"/>
        </w:rPr>
        <w:t>Schüler:innen</w:t>
      </w:r>
      <w:proofErr w:type="gramEnd"/>
      <w:r w:rsidRPr="00496E39">
        <w:rPr>
          <w:rFonts w:cs="Calibri"/>
        </w:rPr>
        <w:t>.</w:t>
      </w:r>
      <w:r w:rsidRPr="00496E39">
        <w:rPr>
          <w:rStyle w:val="Funotenzeichen"/>
          <w:rFonts w:cs="Calibri"/>
        </w:rPr>
        <w:footnoteReference w:id="44"/>
      </w:r>
      <w:r w:rsidRPr="00496E39">
        <w:rPr>
          <w:rFonts w:cs="Calibri"/>
        </w:rPr>
        <w:t xml:space="preserve"> Die Zahlen verdeutlichen, dass evangelikal geprägte Bildungseinrichtungen in Deutschland eine gewisse Reichweite besitzen. Hierbei ist eine sorgfältige Beobachtung der weiteren Entwicklungen geboten, insbesondere im Hinblick auf die Umsetzung der Schulpräsenzpflicht und die Einhaltung verbindlicher Bildungspläne.</w:t>
      </w:r>
      <w:r>
        <w:rPr>
          <w:rFonts w:cs="Calibri"/>
        </w:rPr>
        <w:t xml:space="preserve"> </w:t>
      </w:r>
      <w:r w:rsidRPr="00496E39">
        <w:rPr>
          <w:rFonts w:eastAsia="Times New Roman" w:cs="Calibri"/>
        </w:rPr>
        <w:t>Der Jahresbericht der Sekten Info NRW (2024) verweist auf Fälle, in denen an freikirchlich orientierten Schulen Kreationismus gleichberechtigt neben der Evolutionstheorie vermittelt wurde</w:t>
      </w:r>
      <w:r>
        <w:rPr>
          <w:rFonts w:eastAsia="Times New Roman" w:cs="Calibri"/>
        </w:rPr>
        <w:t>,</w:t>
      </w:r>
      <w:r w:rsidRPr="00496E39">
        <w:rPr>
          <w:rFonts w:eastAsia="Times New Roman" w:cs="Calibri"/>
        </w:rPr>
        <w:t xml:space="preserve"> ohne ein kritisches Korrektiv zu dualistischen, oder exklusiven Weltbildern zu bieten </w:t>
      </w:r>
      <w:r w:rsidRPr="00496E39">
        <w:rPr>
          <w:rFonts w:eastAsia="Times New Roman" w:cs="Calibri"/>
        </w:rPr>
        <w:fldChar w:fldCharType="begin"/>
      </w:r>
      <w:r w:rsidRPr="00496E39">
        <w:rPr>
          <w:rFonts w:eastAsia="Times New Roman" w:cs="Calibri"/>
        </w:rPr>
        <w:instrText xml:space="preserve"> ADDIN ZOTERO_ITEM CSL_CITATION {"citationID":"R66DPGDE","properties":{"formattedCitation":"(Grotepass 2025)","plainCitation":"(Grotepass 2025)","dontUpdate":true,"noteIndex":0},"citationItems":[{"id":326,"uris":["http://zotero.org/users/14566843/items/BSF5ZTVR"],"itemData":{"id":326,"type":"report","publisher":"Sekten Info NRW","title":"Bericht über die Arbeit des Sekten-Info Nordrhein-Westfalen e.V. und über Aktivitäten konfliktträchtiger religiöser Gemeinschaften in 2024","author":[{"family":"Grotepass","given":"Christoph"}],"accessed":{"date-parts":[["2025",7,30]]},"issued":{"date-parts":[["2025"]]}}}],"schema":"https://github.com/citation-style-language/schema/raw/master/csl-citation.json"} </w:instrText>
      </w:r>
      <w:r w:rsidRPr="00496E39">
        <w:rPr>
          <w:rFonts w:eastAsia="Times New Roman" w:cs="Calibri"/>
        </w:rPr>
        <w:fldChar w:fldCharType="separate"/>
      </w:r>
      <w:r w:rsidRPr="00496E39">
        <w:rPr>
          <w:rFonts w:eastAsia="Times New Roman" w:cs="Calibri"/>
          <w:noProof/>
        </w:rPr>
        <w:t>(Grotepass 2025, 16)</w:t>
      </w:r>
      <w:r w:rsidRPr="00496E39">
        <w:rPr>
          <w:rFonts w:eastAsia="Times New Roman" w:cs="Calibri"/>
        </w:rPr>
        <w:fldChar w:fldCharType="end"/>
      </w:r>
      <w:r w:rsidRPr="00496E39">
        <w:rPr>
          <w:rFonts w:eastAsia="Times New Roman" w:cs="Calibri"/>
        </w:rPr>
        <w:t>. Auch andere lebensweltliche Themen</w:t>
      </w:r>
      <w:r>
        <w:rPr>
          <w:rFonts w:eastAsia="Times New Roman" w:cs="Calibri"/>
        </w:rPr>
        <w:t>,</w:t>
      </w:r>
      <w:r w:rsidRPr="00496E39">
        <w:rPr>
          <w:rFonts w:eastAsia="Times New Roman" w:cs="Calibri"/>
        </w:rPr>
        <w:t xml:space="preserve"> wie Klimawandel, Abtreibung oder Geschlechtervielfalt</w:t>
      </w:r>
      <w:r>
        <w:rPr>
          <w:rFonts w:eastAsia="Times New Roman" w:cs="Calibri"/>
        </w:rPr>
        <w:t>,</w:t>
      </w:r>
      <w:r w:rsidRPr="00496E39">
        <w:rPr>
          <w:rFonts w:eastAsia="Times New Roman" w:cs="Calibri"/>
        </w:rPr>
        <w:t xml:space="preserve"> stellen </w:t>
      </w:r>
      <w:r w:rsidRPr="00496E39">
        <w:rPr>
          <w:rFonts w:eastAsia="Times New Roman" w:cs="Calibri"/>
        </w:rPr>
        <w:fldChar w:fldCharType="begin"/>
      </w:r>
      <w:r w:rsidRPr="00496E39">
        <w:rPr>
          <w:rFonts w:eastAsia="Times New Roman" w:cs="Calibri"/>
        </w:rPr>
        <w:instrText xml:space="preserve"> ADDIN ZOTERO_ITEM CSL_CITATION {"citationID":"a26taqk52ge","properties":{"formattedCitation":"\\uldash{(Stockhausen 2017)}","plainCitation":"(Stockhausen 2017)","dontUpdate":true,"noteIndex":0},"citationItems":[{"id":386,"uris":["http://zotero.org/users/14566843/items/9GLFTPRD"],"itemData":{"id":386,"type":"chapter","container-title":"Handbuch Evangelikalismus","page":"305-319","publisher":"Transcript","title":"Evangelikalismus und Politik","author":[{"family":"Stockhausen","given":"Ulrike Elisabeth"}],"editor":[{"family":"Elwert","given":"Frederik"},{"family":"Radermacher","given":"Martin"},{"family":"Schlamelcher","given":"Jens"}],"issued":{"date-parts":[["2017"]]}}}],"schema":"https://github.com/citation-style-language/schema/raw/master/csl-citation.json"} </w:instrText>
      </w:r>
      <w:r w:rsidRPr="00496E39">
        <w:rPr>
          <w:rFonts w:eastAsia="Times New Roman" w:cs="Calibri"/>
        </w:rPr>
        <w:fldChar w:fldCharType="separate"/>
      </w:r>
      <w:r w:rsidRPr="00496E39">
        <w:rPr>
          <w:rFonts w:cs="Calibri"/>
        </w:rPr>
        <w:t>(Stockhausen 2017, 309)</w:t>
      </w:r>
      <w:r w:rsidRPr="00496E39">
        <w:rPr>
          <w:rFonts w:eastAsia="Times New Roman" w:cs="Calibri"/>
        </w:rPr>
        <w:fldChar w:fldCharType="end"/>
      </w:r>
      <w:r w:rsidRPr="00496E39">
        <w:rPr>
          <w:rFonts w:eastAsia="Times New Roman" w:cs="Calibri"/>
        </w:rPr>
        <w:t xml:space="preserve"> wiederholt Konfliktfelder zwischen Evangelikalismus und Wissenschaft dar</w:t>
      </w:r>
      <w:r w:rsidRPr="00496E39">
        <w:rPr>
          <w:rFonts w:cs="Calibri"/>
        </w:rPr>
        <w:t>.</w:t>
      </w:r>
    </w:p>
    <w:p w14:paraId="11D72898" w14:textId="77777777" w:rsidR="00A768F4" w:rsidRDefault="00A768F4" w:rsidP="00A768F4">
      <w:pPr>
        <w:keepNext/>
      </w:pPr>
      <w:r w:rsidRPr="007E610B">
        <w:rPr>
          <w:noProof/>
        </w:rPr>
        <w:lastRenderedPageBreak/>
        <w:drawing>
          <wp:inline distT="0" distB="0" distL="0" distR="0" wp14:anchorId="42DD9FAD" wp14:editId="41A75C82">
            <wp:extent cx="5760720" cy="3233420"/>
            <wp:effectExtent l="0" t="0" r="5080" b="5080"/>
            <wp:docPr id="414901627" name="Picture 1" descr="Abbildung 1 zeigt eine Tabelle mit einem Vergleich christlich-fundamentalistischer Strukturen in Deutschland und den USA hinsichtlich drei Dimensionen: historisch-theologisch, gesellschaftlich-politisch, und pädagogisch.&#10;Obere Zeile USA – historisch-theologische Dimension: Historisch stark verwurzelte Bewegung mit langer Tradition und deutlicher Prägung von Politik und Bildung über Jahrzehnte; in vielen Entwicklungen fundamentalistischer Positionen richtungsweisend – gesellschaftlich-politische Dimension: Starker Einfluss auf politische Diskurse; enge Verbindung zu Evangelikalismus, Christian Nationalism und Abgrenzungsnarrativen; ausgeprägt antipluralistisches Gesellschaftsbild – pädagogische Dimension: Sichtbarer Kulturkampf im Bildungsbereich; stark ausgebaute Homeschooling-Szene und konfessionelle/evangelikale Bildungsträger; teils stark ideologisch gezeichnete Unterrichtsangebote&#10;Untere Zeile Deutschland - historisch-theologische Dimension: Quantitativ überschaubares, aber historisch gewachsenes Feld mit langer Tradition; Rückgang etablierter Kirchen als Nährboden für fundamentalistische und evangelikale Gemeinschaften - gesellschaftlich-politische Dimension: Politisches Engagement seit dem Ende des 20 Jh. sichtbarer; vielfältige und heterogene Landschaft; zunehmende internationale Orientierung; mit einer Grundneigung zu konservativen bis hin zu stark anti-pluralistischen Positionen - pädagogische Dimension: Missionierung junger Menschen zunehmend über Soziale Medien; Schulpflicht verhindert zumeist abgeschlossene Bildungssysteme; gleichzeitig Entstehen von bekenntnisorientierten Bildungsräumen mit z. T. wissenschaftskritischen Tendenz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4901627" name="Picture 1" descr="Abbildung 1 zeigt eine Tabelle mit einem Vergleich christlich-fundamentalistischer Strukturen in Deutschland und den USA hinsichtlich drei Dimensionen: historisch-theologisch, gesellschaftlich-politisch, und pädagogisch.&#10;Obere Zeile USA – historisch-theologische Dimension: Historisch stark verwurzelte Bewegung mit langer Tradition und deutlicher Prägung von Politik und Bildung über Jahrzehnte; in vielen Entwicklungen fundamentalistischer Positionen richtungsweisend – gesellschaftlich-politische Dimension: Starker Einfluss auf politische Diskurse; enge Verbindung zu Evangelikalismus, Christian Nationalism und Abgrenzungsnarrativen; ausgeprägt antipluralistisches Gesellschaftsbild – pädagogische Dimension: Sichtbarer Kulturkampf im Bildungsbereich; stark ausgebaute Homeschooling-Szene und konfessionelle/evangelikale Bildungsträger; teils stark ideologisch gezeichnete Unterrichtsangebote&#10;Untere Zeile Deutschland - historisch-theologische Dimension: Quantitativ überschaubares, aber historisch gewachsenes Feld mit langer Tradition; Rückgang etablierter Kirchen als Nährboden für fundamentalistische und evangelikale Gemeinschaften - gesellschaftlich-politische Dimension: Politisches Engagement seit dem Ende des 20 Jh. sichtbarer; vielfältige und heterogene Landschaft; zunehmende internationale Orientierung; mit einer Grundneigung zu konservativen bis hin zu stark anti-pluralistischen Positionen - pädagogische Dimension: Missionierung junger Menschen zunehmend über Soziale Medien; Schulpflicht verhindert zumeist abgeschlossene Bildungssysteme; gleichzeitig Entstehen von bekenntnisorientierten Bildungsräumen mit z. T. wissenschaftskritischen Tendenzen"/>
                    <pic:cNvPicPr/>
                  </pic:nvPicPr>
                  <pic:blipFill>
                    <a:blip r:embed="rId35"/>
                    <a:stretch>
                      <a:fillRect/>
                    </a:stretch>
                  </pic:blipFill>
                  <pic:spPr>
                    <a:xfrm>
                      <a:off x="0" y="0"/>
                      <a:ext cx="5760720" cy="3233420"/>
                    </a:xfrm>
                    <a:prstGeom prst="rect">
                      <a:avLst/>
                    </a:prstGeom>
                  </pic:spPr>
                </pic:pic>
              </a:graphicData>
            </a:graphic>
          </wp:inline>
        </w:drawing>
      </w:r>
    </w:p>
    <w:p w14:paraId="063D0971" w14:textId="77777777" w:rsidR="00A768F4" w:rsidRPr="00F86642" w:rsidRDefault="00A768F4" w:rsidP="00A768F4">
      <w:pPr>
        <w:pStyle w:val="Beschriftung"/>
        <w:rPr>
          <w:color w:val="016D72"/>
        </w:rPr>
      </w:pPr>
      <w:r w:rsidRPr="00F86642">
        <w:rPr>
          <w:color w:val="016D72"/>
        </w:rPr>
        <w:t xml:space="preserve">Abbildung </w:t>
      </w:r>
      <w:r w:rsidRPr="00F86642">
        <w:rPr>
          <w:color w:val="016D72"/>
        </w:rPr>
        <w:fldChar w:fldCharType="begin"/>
      </w:r>
      <w:r w:rsidRPr="00F86642">
        <w:rPr>
          <w:color w:val="016D72"/>
        </w:rPr>
        <w:instrText xml:space="preserve"> SEQ Abbildung \* ARABIC </w:instrText>
      </w:r>
      <w:r w:rsidRPr="00F86642">
        <w:rPr>
          <w:color w:val="016D72"/>
        </w:rPr>
        <w:fldChar w:fldCharType="separate"/>
      </w:r>
      <w:r w:rsidRPr="00F86642">
        <w:rPr>
          <w:noProof/>
          <w:color w:val="016D72"/>
        </w:rPr>
        <w:t>1</w:t>
      </w:r>
      <w:r w:rsidRPr="00F86642">
        <w:rPr>
          <w:color w:val="016D72"/>
        </w:rPr>
        <w:fldChar w:fldCharType="end"/>
      </w:r>
      <w:r w:rsidRPr="00F86642">
        <w:rPr>
          <w:color w:val="016D72"/>
        </w:rPr>
        <w:t>: Christlich-fundamentalistische Strukturen im Vergleich</w:t>
      </w:r>
      <w:r>
        <w:rPr>
          <w:color w:val="016D72"/>
        </w:rPr>
        <w:t>.</w:t>
      </w:r>
    </w:p>
    <w:p w14:paraId="6E9FECB2" w14:textId="77777777" w:rsidR="00A768F4" w:rsidRPr="00C9124B" w:rsidRDefault="00A768F4" w:rsidP="00A768F4">
      <w:pPr>
        <w:tabs>
          <w:tab w:val="left" w:pos="5217"/>
        </w:tabs>
        <w:spacing w:line="276" w:lineRule="auto"/>
        <w:jc w:val="both"/>
        <w:rPr>
          <w:rFonts w:cs="Calibri"/>
        </w:rPr>
      </w:pPr>
      <w:r w:rsidRPr="00C9124B">
        <w:rPr>
          <w:rFonts w:cs="Calibri"/>
        </w:rPr>
        <w:t xml:space="preserve">Für eine differenzierte Betrachtung christlich-fundamentalistischer Strukturen in Deutschland besteht die Notwendigkeit einer weiterführenden Auseinandersetzung. Es mangelt, besonders aufgrund der zuvor benannten Erfassungsproblematik, an </w:t>
      </w:r>
      <w:r w:rsidRPr="00C9124B">
        <w:rPr>
          <w:rFonts w:cs="Calibri"/>
          <w:b/>
          <w:bCs/>
        </w:rPr>
        <w:t>quantitativen Erhebungen</w:t>
      </w:r>
      <w:r w:rsidRPr="00C9124B">
        <w:rPr>
          <w:rFonts w:cs="Calibri"/>
        </w:rPr>
        <w:t xml:space="preserve"> zu Mitgliederzahlen, Teilnehmenden-strukturen und der (lokalen) Verbreitung christlich</w:t>
      </w:r>
      <w:r>
        <w:rPr>
          <w:rFonts w:cs="Calibri"/>
        </w:rPr>
        <w:t>-</w:t>
      </w:r>
      <w:r w:rsidRPr="00C9124B">
        <w:rPr>
          <w:rFonts w:cs="Calibri"/>
        </w:rPr>
        <w:t xml:space="preserve">fundamentalistischer Gemeinden. Auch sind vertiefte Analysen zum </w:t>
      </w:r>
      <w:r w:rsidRPr="00C9124B">
        <w:rPr>
          <w:rFonts w:cs="Calibri"/>
          <w:b/>
          <w:bCs/>
        </w:rPr>
        <w:t xml:space="preserve">politischen Engagement einzelner </w:t>
      </w:r>
      <w:proofErr w:type="gramStart"/>
      <w:r w:rsidRPr="00C9124B">
        <w:rPr>
          <w:rFonts w:cs="Calibri"/>
          <w:b/>
          <w:bCs/>
        </w:rPr>
        <w:t>Akteur:innen</w:t>
      </w:r>
      <w:proofErr w:type="gramEnd"/>
      <w:r w:rsidRPr="00C9124B">
        <w:rPr>
          <w:rFonts w:cs="Calibri"/>
          <w:b/>
          <w:bCs/>
        </w:rPr>
        <w:t xml:space="preserve"> sowie zu den politischen Einstellungen der Mitglieder</w:t>
      </w:r>
      <w:r w:rsidRPr="00C9124B">
        <w:rPr>
          <w:rFonts w:cs="Calibri"/>
        </w:rPr>
        <w:t xml:space="preserve"> notwendig, um gesellschaftliche Wirkungsweisen besser zu verstehen. Nicht zuletzt bedarf es an vertiefender Forschung zu den </w:t>
      </w:r>
      <w:r w:rsidRPr="00C9124B">
        <w:rPr>
          <w:rFonts w:cs="Calibri"/>
          <w:b/>
          <w:bCs/>
        </w:rPr>
        <w:t>Bewegungen zwischen klassisch fundamentalistischen und lifestyleorientierten Gemeinschaften</w:t>
      </w:r>
      <w:r w:rsidRPr="00C9124B">
        <w:rPr>
          <w:rFonts w:cs="Calibri"/>
        </w:rPr>
        <w:t xml:space="preserve">. Deren Dynamiken und Anschlussfähigkeiten wurden bislang kaum systematisch untersucht, sind aber besonders </w:t>
      </w:r>
      <w:r>
        <w:rPr>
          <w:rFonts w:cs="Calibri"/>
        </w:rPr>
        <w:t>vor dem</w:t>
      </w:r>
      <w:r w:rsidRPr="00C9124B">
        <w:rPr>
          <w:rFonts w:cs="Calibri"/>
        </w:rPr>
        <w:t xml:space="preserve"> Hintergrund ihrer Attraktivität für und </w:t>
      </w:r>
      <w:r>
        <w:rPr>
          <w:rFonts w:cs="Calibri"/>
        </w:rPr>
        <w:t xml:space="preserve">ihrer </w:t>
      </w:r>
      <w:r w:rsidRPr="00C9124B">
        <w:rPr>
          <w:rFonts w:cs="Calibri"/>
        </w:rPr>
        <w:t xml:space="preserve">Einflussnahme </w:t>
      </w:r>
      <w:r>
        <w:rPr>
          <w:rFonts w:cs="Calibri"/>
        </w:rPr>
        <w:t>auf</w:t>
      </w:r>
      <w:r w:rsidRPr="00C9124B">
        <w:rPr>
          <w:rFonts w:cs="Calibri"/>
        </w:rPr>
        <w:t xml:space="preserve"> Jugendliche relevant.</w:t>
      </w:r>
    </w:p>
    <w:p w14:paraId="08484ECC" w14:textId="77777777" w:rsidR="00A768F4" w:rsidRPr="00CF14DD" w:rsidRDefault="00A768F4" w:rsidP="00CF14DD">
      <w:pPr>
        <w:pStyle w:val="berschrift1"/>
        <w:numPr>
          <w:ilvl w:val="0"/>
          <w:numId w:val="0"/>
        </w:numPr>
        <w:spacing w:before="240" w:after="160"/>
        <w:ind w:left="431" w:hanging="431"/>
        <w:rPr>
          <w:rFonts w:asciiTheme="minorHAnsi" w:hAnsiTheme="minorHAnsi" w:cstheme="minorHAnsi"/>
          <w:sz w:val="32"/>
          <w:szCs w:val="32"/>
        </w:rPr>
      </w:pPr>
      <w:bookmarkStart w:id="91" w:name="_Toc215819948"/>
      <w:r w:rsidRPr="00CF14DD">
        <w:rPr>
          <w:rFonts w:asciiTheme="minorHAnsi" w:hAnsiTheme="minorHAnsi" w:cstheme="minorHAnsi"/>
          <w:color w:val="016D72"/>
          <w:sz w:val="32"/>
          <w:szCs w:val="32"/>
        </w:rPr>
        <w:t>6. Pädagogische Implikationen</w:t>
      </w:r>
      <w:bookmarkEnd w:id="91"/>
    </w:p>
    <w:p w14:paraId="59038B66" w14:textId="77777777" w:rsidR="00A768F4" w:rsidRPr="00496E39" w:rsidRDefault="00A768F4" w:rsidP="00A768F4">
      <w:pPr>
        <w:tabs>
          <w:tab w:val="left" w:pos="5217"/>
        </w:tabs>
        <w:spacing w:line="276" w:lineRule="auto"/>
        <w:jc w:val="both"/>
        <w:rPr>
          <w:rFonts w:cs="Calibri"/>
        </w:rPr>
      </w:pPr>
      <w:r w:rsidRPr="00AA187E">
        <w:rPr>
          <w:rFonts w:cs="Calibri"/>
        </w:rPr>
        <w:t xml:space="preserve">Bevor, ausgehend von dem vorherigen Vergleich, ein Ausblick auf pädagogische Felder geworfen wird, lohnt ein kurzer Schritt zurück: Fundamentalismus als religiös-weltanschauliches Phänomen ist in seiner epistemologischen Struktur eng mit gesellschaftlicher und somit auch politischer Partizipation verknüpft. Die Art und Weise, wie Wirklichkeit konstruiert, Wahrheit beansprucht und Autorität begründet wird, </w:t>
      </w:r>
      <w:r w:rsidRPr="00496E39">
        <w:rPr>
          <w:rFonts w:cs="Calibri"/>
        </w:rPr>
        <w:t>berührt unmittelbar auch die pädagogische Dimension. Insbesondere mit Blick auf junge Menschen, deren Teilhabe an pluralen Gesellschaften maßgeblich auch durch religiöse Bildungsprozesse geprägt wird. </w:t>
      </w:r>
    </w:p>
    <w:p w14:paraId="7807B718" w14:textId="77777777" w:rsidR="00A768F4" w:rsidRDefault="00A768F4" w:rsidP="00A768F4">
      <w:pPr>
        <w:tabs>
          <w:tab w:val="left" w:pos="5217"/>
        </w:tabs>
        <w:spacing w:line="276" w:lineRule="auto"/>
        <w:jc w:val="both"/>
        <w:rPr>
          <w:rFonts w:cs="Calibri"/>
        </w:rPr>
      </w:pPr>
      <w:r w:rsidRPr="00496E39">
        <w:rPr>
          <w:rFonts w:cs="Calibri"/>
        </w:rPr>
        <w:t xml:space="preserve">Im transatlantischen Vergleich lässt sich erkennen, dass Fundamentalismus und Evangelikalismus als Massenbewegungen besonders in den USA vermehrt Zulauf gewinnen. Ihre lange Historie hat zu einer tiefen gesellschaftlichen Verankerung geführt. Zumeist spielen sich rechte politische </w:t>
      </w:r>
      <w:proofErr w:type="gramStart"/>
      <w:r w:rsidRPr="00496E39">
        <w:rPr>
          <w:rFonts w:cs="Calibri"/>
        </w:rPr>
        <w:t>Akteur:innen</w:t>
      </w:r>
      <w:proofErr w:type="gramEnd"/>
      <w:r w:rsidRPr="00496E39">
        <w:rPr>
          <w:rFonts w:cs="Calibri"/>
        </w:rPr>
        <w:t xml:space="preserve"> und fundamentalistische Gruppen gegenseitig den Ball zu und antipluralistische Grundsätze werden gemeinsam im Namen des Christentums (wieder) etabliert. Auch die pädagogische und bildungspolitische Ebene des fundamentalistischen Einflusses ist in den USA stark strukturell verankert, Gestaltungsmöglichkeiten unterschiedlicher fundamentalistischer </w:t>
      </w:r>
      <w:proofErr w:type="gramStart"/>
      <w:r w:rsidRPr="00496E39">
        <w:rPr>
          <w:rFonts w:cs="Calibri"/>
        </w:rPr>
        <w:t>Akteur:innen</w:t>
      </w:r>
      <w:proofErr w:type="gramEnd"/>
      <w:r w:rsidRPr="00496E39">
        <w:rPr>
          <w:rFonts w:cs="Calibri"/>
        </w:rPr>
        <w:t xml:space="preserve"> zum Teil </w:t>
      </w:r>
      <w:r w:rsidRPr="00496E39">
        <w:rPr>
          <w:rFonts w:cs="Calibri"/>
        </w:rPr>
        <w:lastRenderedPageBreak/>
        <w:t>institutionalisiert.</w:t>
      </w:r>
      <w:r w:rsidRPr="00496E39">
        <w:rPr>
          <w:rFonts w:cs="Calibri"/>
          <w:color w:val="FFFF00"/>
        </w:rPr>
        <w:t xml:space="preserve"> </w:t>
      </w:r>
      <w:r w:rsidRPr="00496E39">
        <w:rPr>
          <w:rFonts w:cs="Calibri"/>
        </w:rPr>
        <w:t>In Deutschland sind christlich</w:t>
      </w:r>
      <w:r>
        <w:rPr>
          <w:rFonts w:cs="Calibri"/>
        </w:rPr>
        <w:t>-</w:t>
      </w:r>
      <w:r w:rsidRPr="00496E39">
        <w:rPr>
          <w:rFonts w:cs="Calibri"/>
        </w:rPr>
        <w:t>fundamentalistische Strömungen weder historisch oder strukturell so stark verankert, noch ist die politische Interaktion in vergleichbarer Intensität ausgeprägt. Auch die Implementierung fundamentalistischer Glaubensweisen in der schulischen Landschaft lässt sich derzeit nur partiell erkennen</w:t>
      </w:r>
      <w:r>
        <w:rPr>
          <w:rFonts w:cs="Calibri"/>
        </w:rPr>
        <w:t xml:space="preserve">, </w:t>
      </w:r>
      <w:r w:rsidRPr="00496E39">
        <w:rPr>
          <w:rFonts w:cs="Calibri"/>
        </w:rPr>
        <w:t xml:space="preserve">sollte </w:t>
      </w:r>
      <w:r>
        <w:rPr>
          <w:rFonts w:cs="Calibri"/>
        </w:rPr>
        <w:t>jedoch</w:t>
      </w:r>
      <w:r w:rsidRPr="00496E39">
        <w:rPr>
          <w:rFonts w:cs="Calibri"/>
        </w:rPr>
        <w:t xml:space="preserve"> an dieser Stelle gezielt beobachtet werden. </w:t>
      </w:r>
      <w:r>
        <w:rPr>
          <w:rFonts w:cs="Calibri"/>
        </w:rPr>
        <w:t>Zugleich</w:t>
      </w:r>
      <w:r w:rsidRPr="00496E39">
        <w:rPr>
          <w:rFonts w:cs="Calibri"/>
        </w:rPr>
        <w:t xml:space="preserve"> zeigen sich in Deutschland politische Gestaltungsansprüche fundamentalistisch geprägter Gruppen, die sich etwa auf den Bildungs- oder Wissenschaftsbereich ausdehnen. Dass evangelikale und fundamentalistische Bewegungen in einer globalisierten und digital vernetzten Welt nicht an Landesgrenzen haltmachen, zeigt sich besonders deutlich an den internationalen Verbindungen lifestyle-orientierter Gemeinden. </w:t>
      </w:r>
      <w:r w:rsidRPr="00A64ABC">
        <w:rPr>
          <w:rFonts w:cs="Calibri"/>
        </w:rPr>
        <w:t>Dabei lässt sich ein großer Teil der Kontakte den USA zuordnen</w:t>
      </w:r>
      <w:r>
        <w:rPr>
          <w:rFonts w:cs="Calibri"/>
        </w:rPr>
        <w:t>:</w:t>
      </w:r>
      <w:r w:rsidRPr="00A64ABC">
        <w:rPr>
          <w:rFonts w:cs="Calibri"/>
        </w:rPr>
        <w:t xml:space="preserve"> </w:t>
      </w:r>
    </w:p>
    <w:p w14:paraId="5B081B43" w14:textId="77777777" w:rsidR="00A768F4" w:rsidRPr="00496E39" w:rsidRDefault="00A768F4" w:rsidP="00A768F4">
      <w:pPr>
        <w:tabs>
          <w:tab w:val="left" w:pos="5217"/>
        </w:tabs>
        <w:spacing w:line="276" w:lineRule="auto"/>
        <w:ind w:left="720"/>
        <w:jc w:val="both"/>
        <w:rPr>
          <w:rFonts w:cs="Calibri"/>
        </w:rPr>
      </w:pPr>
      <w:r w:rsidRPr="00496E39">
        <w:rPr>
          <w:rFonts w:cs="Calibri"/>
        </w:rPr>
        <w:t xml:space="preserve">„[…] Diese internationalen Kontakte reichen weit in die Geschichte zurück. Merkmale der Einflüsse werden vor allem bei neuen ‚amerikanischen‘ Formen von Gottesdiensten oder Großveranstaltungen offenbar“ </w:t>
      </w:r>
      <w:r w:rsidRPr="00496E39">
        <w:rPr>
          <w:rFonts w:cs="Calibri"/>
        </w:rPr>
        <w:fldChar w:fldCharType="begin"/>
      </w:r>
      <w:r w:rsidRPr="00496E39">
        <w:rPr>
          <w:rFonts w:cs="Calibri"/>
        </w:rPr>
        <w:instrText xml:space="preserve"> ADDIN ZOTERO_ITEM CSL_CITATION {"citationID":"a1lg584cbh3","properties":{"formattedCitation":"\\uldash{(Guske 2014)}","plainCitation":"(Guske 2014)","dontUpdate":true,"noteIndex":0},"citationItems":[{"id":269,"uris":["http://zotero.org/users/14566843/items/MT4W4SQ8"],"itemData":{"id":269,"type":"book","abstract":"Politisch einflussreiche Evangelikale werden insbesondere in den USA verortet. Doch auch deutsche Evangelikale üben einen nicht zu unterschätzenden politischen Einfluss aus. Katja Guske analysiert detailliert politische Einstellungen, Aktivitäten und Handlungsstrategien der deutschen Evangelikalen. Die bisher in den Politikwissenschaften vernachlässigte Erforschung dieser wichtigen religiösen Gruppierung setzt sie ins Verhältnis zu den amerikanischen Evangelikalen und erweitert sie um eine religionskulturell vergleichende Perspektive. Die Autorin beantwortet auf der Basis zahlreicher Interviews mit deutschen Evangelikalen die Frage, ob es sich um eine fundamentalistische Bewegung handelt oder ob sie als Teil der Zivilgesellschaft an den friedlichen Aushandlungsprozessen der religiös pluralistischen und politisch säkularen deutschen Gesellschaft partizipiert. Der Inhalt Entwicklung und Ambivalenz der Säkularisierung Auswirkungen der Säkularisierung auf das Staat-Kirche-Verhältnis Die deutsche evangelikale Bewegung Deutsche Evangelikale und Politik Konfliktpunkte im Agieren der evangelikalen Bewegung Die Zielgruppen Dozierende und Studierende der Politik- und Religionswissenschaften Personen der politischen und religiösen Öffentlichkeit Die Autorin Katja Guske ist Sozialwissenschaftlerin an der Humboldt-Universität zu Berlin und Projektkoordinatorin des von der Haniel Stiftung geförderten interdisziplinären Forschungsbereichs „Program on Religion, Politics and Economics“","collection-title":"SpringerLink Bücher","event-place":"Wiesbaden","ISBN":"978-3-658-03846-5","language":"ger","note":"DOI: 10.1007/978-3-658-03847-2","number-of-pages":"247","publisher":"Springer VS","publisher-place":"Wiesbaden","source":"K10plus ISBN","title":"Zwischen Bibel und Grundgesetz: Die Religionspolitik der Evangelikalen in Deutschland","title-short":"Zwischen Bibel und Grundgesetz","author":[{"family":"Guske","given":"Katja"}],"issued":{"date-parts":[["2014"]]}}}],"schema":"https://github.com/citation-style-language/schema/raw/master/csl-citation.json"} </w:instrText>
      </w:r>
      <w:r w:rsidRPr="00496E39">
        <w:rPr>
          <w:rFonts w:cs="Calibri"/>
        </w:rPr>
        <w:fldChar w:fldCharType="separate"/>
      </w:r>
      <w:r w:rsidRPr="00496E39">
        <w:rPr>
          <w:rFonts w:cs="Calibri"/>
        </w:rPr>
        <w:t>(Guske 2014,</w:t>
      </w:r>
      <w:r w:rsidRPr="00496E39">
        <w:rPr>
          <w:rFonts w:cs="Calibri"/>
        </w:rPr>
        <w:fldChar w:fldCharType="end"/>
      </w:r>
      <w:r w:rsidRPr="00496E39">
        <w:rPr>
          <w:rFonts w:cs="Calibri"/>
        </w:rPr>
        <w:t xml:space="preserve"> 86). </w:t>
      </w:r>
    </w:p>
    <w:p w14:paraId="610AC9CE" w14:textId="77777777" w:rsidR="00A768F4" w:rsidRPr="00EB4892" w:rsidRDefault="00A768F4" w:rsidP="00A768F4">
      <w:pPr>
        <w:tabs>
          <w:tab w:val="left" w:pos="5217"/>
        </w:tabs>
        <w:spacing w:line="276" w:lineRule="auto"/>
        <w:jc w:val="both"/>
      </w:pPr>
      <w:r w:rsidRPr="007C1C73">
        <w:rPr>
          <w:rFonts w:cs="Calibri"/>
        </w:rPr>
        <w:t>Dabei ist klar: Nicht alle religiös-fundamentalistischen Gruppen lehnen Wissenschaft</w:t>
      </w:r>
      <w:r>
        <w:rPr>
          <w:rFonts w:cs="Calibri"/>
        </w:rPr>
        <w:t xml:space="preserve"> in Gänze</w:t>
      </w:r>
      <w:r w:rsidRPr="007C1C73">
        <w:rPr>
          <w:rFonts w:cs="Calibri"/>
        </w:rPr>
        <w:t xml:space="preserve"> ab. Dennoch können bestimmte theologische Prämissen, etwa eine literale Bibelauslegung, dazu führen, dass wissenschaftlicher Diskurs eingeschränkt oder selektiv rezipiert wird. Hier ist eine </w:t>
      </w:r>
      <w:r w:rsidRPr="007C1C73">
        <w:rPr>
          <w:rFonts w:cs="Calibri"/>
          <w:color w:val="000000" w:themeColor="text1"/>
        </w:rPr>
        <w:t xml:space="preserve">pädagogische Auseinandersetzung </w:t>
      </w:r>
      <w:r w:rsidRPr="007C1C73">
        <w:rPr>
          <w:rFonts w:cs="Calibri"/>
        </w:rPr>
        <w:t xml:space="preserve">notwendig, die zwischen legitimer religiöser Pluralität und der Ablehnung offener Bildungsprozesse zu unterscheiden </w:t>
      </w:r>
      <w:r w:rsidRPr="000260DE">
        <w:rPr>
          <w:rFonts w:cs="Calibri"/>
        </w:rPr>
        <w:t>weiß</w:t>
      </w:r>
      <w:r w:rsidRPr="00EB4892">
        <w:t>.</w:t>
      </w:r>
    </w:p>
    <w:p w14:paraId="75ECD653" w14:textId="77777777" w:rsidR="00A768F4" w:rsidRPr="00496E39" w:rsidRDefault="00A768F4" w:rsidP="00A768F4">
      <w:pPr>
        <w:tabs>
          <w:tab w:val="left" w:pos="5217"/>
        </w:tabs>
        <w:spacing w:line="276" w:lineRule="auto"/>
        <w:jc w:val="both"/>
        <w:rPr>
          <w:rFonts w:cs="Calibri"/>
        </w:rPr>
      </w:pPr>
      <w:r w:rsidRPr="00496E39">
        <w:rPr>
          <w:rFonts w:cs="Calibri"/>
        </w:rPr>
        <w:t>Bisher mangelt es in Deutschland an belastbaren empirischen Erkenntnissen darüber, wie christlich fundamentalistische Überzeugungen mit gesellschaftspolitischen Einstellungen und den Auswirkungen dieser zusammenhängen. Studien zu diesem Thema existieren bislang fast ausschließlich im Kontext (fundamentalistisch oder extremistisch geprägter) muslimischer Jugendlicher. Gerade vor dem Hintergrund zunehmender antiliberaler und antidemokratischer Tendenzen erscheint eine vertiefte Auseinandersetzung mit den pädagogischen Implikationen in Deutschland unerlässlich. Besonders um demokratiekritische</w:t>
      </w:r>
      <w:r>
        <w:rPr>
          <w:rFonts w:cs="Calibri"/>
        </w:rPr>
        <w:t>n</w:t>
      </w:r>
      <w:r w:rsidRPr="00496E39">
        <w:rPr>
          <w:rFonts w:cs="Calibri"/>
        </w:rPr>
        <w:t xml:space="preserve"> Entwicklungen auf gesellschaftspolitischer und pädagogischer Ebene vorgreifen zu können. Es geht hierbei nur am Rande um Radikalisierungstendenzen, da der Zusammenhang dieser mit einer fundamentalistischen Glaubensausübung auch im wissenschaftlichen Diskurs stark umstritten ist </w:t>
      </w:r>
      <w:r w:rsidRPr="00496E39">
        <w:rPr>
          <w:rFonts w:cs="Calibri"/>
        </w:rPr>
        <w:fldChar w:fldCharType="begin"/>
      </w:r>
      <w:r w:rsidRPr="00496E39">
        <w:rPr>
          <w:rFonts w:cs="Calibri"/>
        </w:rPr>
        <w:instrText xml:space="preserve"> ADDIN ZOTERO_ITEM CSL_CITATION {"citationID":"atbap7tj0m","properties":{"formattedCitation":"\\uldash{(De Graaf und Van Den Bos 2021)}","plainCitation":"(De Graaf und Van Den Bos 2021)","dontUpdate":true,"noteIndex":0},"citationItems":[{"id":365,"uris":["http://zotero.org/users/14566843/items/YQ5QVLFW"],"itemData":{"id":365,"type":"article-journal","container-title":"Current Opinion in Psychology","DOI":"10.1016/j.copsyc.2020.08.028","ISSN":"2352250X","journalAbbreviation":"Current Opinion in Psychology","language":"en","page":"56-60","source":"DOI.org (Crossref)","title":"Religious radicalization: social appraisals and finding radical redemption in extreme beliefs","title-short":"Religious radicalization","volume":"40","author":[{"family":"De Graaf","given":"Beatrice A"},{"family":"Van Den Bos","given":"Kees"}],"issued":{"date-parts":[["2021",8]]}}}],"schema":"https://github.com/citation-style-language/schema/raw/master/csl-citation.json"} </w:instrText>
      </w:r>
      <w:r w:rsidRPr="00496E39">
        <w:rPr>
          <w:rFonts w:cs="Calibri"/>
        </w:rPr>
        <w:fldChar w:fldCharType="separate"/>
      </w:r>
      <w:r w:rsidRPr="00496E39">
        <w:rPr>
          <w:rFonts w:cs="Calibri"/>
        </w:rPr>
        <w:t>(De Graaf und Van Den Bos 2021, 56-57</w:t>
      </w:r>
      <w:r w:rsidRPr="00496E39">
        <w:rPr>
          <w:rFonts w:cs="Calibri"/>
        </w:rPr>
        <w:fldChar w:fldCharType="end"/>
      </w:r>
      <w:r w:rsidRPr="00496E39">
        <w:rPr>
          <w:rFonts w:cs="Calibri"/>
        </w:rPr>
        <w:t xml:space="preserve">; </w:t>
      </w:r>
      <w:r w:rsidRPr="00496E39">
        <w:rPr>
          <w:rFonts w:cs="Calibri"/>
        </w:rPr>
        <w:fldChar w:fldCharType="begin"/>
      </w:r>
      <w:r w:rsidRPr="00496E39">
        <w:rPr>
          <w:rFonts w:cs="Calibri"/>
        </w:rPr>
        <w:instrText xml:space="preserve"> ADDIN ZOTERO_ITEM CSL_CITATION {"citationID":"a2lb634tab3","properties":{"formattedCitation":"\\uldash{(Demmrich und Hanel 2024)}","plainCitation":"(Demmrich und Hanel 2024)","dontUpdate":true,"noteIndex":0},"citationItems":[{"id":363,"uris":["http://zotero.org/users/14566843/items/S96AFXGA"],"itemData":{"id":363,"type":"article-journal","abstract":"The role of religiosity in radicalization is a topic of intense debate. To avoid essentializing religion, it is crucial to include a variety of factors that can explain radicalization beyond religiosity. The present study aligns with this approach by building upon the three Ps of radicalization (push, pull, personal factors). It examines the relative role of various forms of religiosity (pull factors) in radicalization within the context of social structure, perceived deprivation (both push factors), and demographic variables (personal factors). We analyzed previously collected data comprising a sample of 1,048 Muslims with Turkish migration background in Germany. Acceptance of active and reactive violence as indicators of radicalization with demography, social-structure position, perceived deprivation, and different forms of religiosity (individual, collective, orthodox, fundamentalist religiosity) were used as predictors. Individual religiosity was a protective factor against reactive violence when controlling for fundamentalism. Fundamentalism emerged as the strongest predictor of the acceptance of reactive violence. Both fundamentalism and orthodox religiosity were positive predictors of active violence. However, these latter effects should be interpreted with caution due to the naturally low acceptance of active violence. Finally, the deprivation-radicalization association was stronger for participants scoring higher on fundamentalism, while medium to high orthodox religiosity was the key factor connecting deprivation to radicalization. Implications are delineated regarding practical strategies, specifically formulated for addressing feelings of deprivation within minority contexts.","container-title":"Frontiers in Social Psychology","DOI":"10.3389/frsps.2024.1406688","ISSN":"2813-7876","journalAbbreviation":"Front. Soc. Psychol.","page":"1406688","source":"DOI.org (Crossref)","title":"The relative role of religiosity in radicalization: how orthodox and fundamentalist religiosity are linked to violence acceptance","title-short":"The relative role of religiosity in radicalization","volume":"2","author":[{"family":"Demmrich","given":"Sarah"},{"family":"Hanel","given":"Paul H. P."}],"issued":{"date-parts":[["2024",8,30]]}}}],"schema":"https://github.com/citation-style-language/schema/raw/master/csl-citation.json"} </w:instrText>
      </w:r>
      <w:r w:rsidRPr="00496E39">
        <w:rPr>
          <w:rFonts w:cs="Calibri"/>
        </w:rPr>
        <w:fldChar w:fldCharType="separate"/>
      </w:r>
      <w:r w:rsidRPr="00496E39">
        <w:rPr>
          <w:rFonts w:cs="Calibri"/>
        </w:rPr>
        <w:t>Demmrich und Hanel 2024, 1)</w:t>
      </w:r>
      <w:r w:rsidRPr="00496E39">
        <w:rPr>
          <w:rFonts w:cs="Calibri"/>
        </w:rPr>
        <w:fldChar w:fldCharType="end"/>
      </w:r>
      <w:r w:rsidRPr="00496E39">
        <w:rPr>
          <w:rFonts w:cs="Calibri"/>
        </w:rPr>
        <w:t xml:space="preserve">. Vielmehr geht es um die fundamentalistische Glaubens- und Lebensweise als potenziell determinierenden Faktor für individuelle Entwicklungsprozesse. Ableitungen zu Radikalisierungstendenzen durch (christlich) fundamentalistische Erziehungspraktiken müssen an </w:t>
      </w:r>
      <w:r w:rsidRPr="00496E39">
        <w:t>anderer Stelle erfolgen.</w:t>
      </w:r>
      <w:r w:rsidRPr="00496E39">
        <w:rPr>
          <w:rFonts w:cs="Calibri"/>
        </w:rPr>
        <w:t xml:space="preserve">  </w:t>
      </w:r>
    </w:p>
    <w:p w14:paraId="19E71CF9" w14:textId="77777777" w:rsidR="00A768F4" w:rsidRDefault="00A768F4" w:rsidP="00A768F4">
      <w:pPr>
        <w:spacing w:line="276" w:lineRule="auto"/>
        <w:jc w:val="both"/>
        <w:rPr>
          <w:rFonts w:cs="Calibri"/>
        </w:rPr>
      </w:pPr>
      <w:r w:rsidRPr="00136EEF">
        <w:rPr>
          <w:rFonts w:cs="Calibri"/>
        </w:rPr>
        <w:t>Die </w:t>
      </w:r>
      <w:r w:rsidRPr="00A64ABC">
        <w:rPr>
          <w:rFonts w:cs="Calibri"/>
          <w:i/>
          <w:iCs/>
        </w:rPr>
        <w:t>„BicFam</w:t>
      </w:r>
      <w:r w:rsidRPr="002961D5">
        <w:rPr>
          <w:rFonts w:cs="Calibri"/>
          <w:i/>
          <w:iCs/>
        </w:rPr>
        <w:t>“</w:t>
      </w:r>
      <w:r w:rsidRPr="00A64ABC">
        <w:rPr>
          <w:rFonts w:cs="Calibri"/>
          <w:i/>
          <w:iCs/>
        </w:rPr>
        <w:t>-Definition</w:t>
      </w:r>
      <w:r w:rsidRPr="00136EEF">
        <w:rPr>
          <w:rFonts w:cs="Calibri"/>
        </w:rPr>
        <w:t xml:space="preserve"> dient </w:t>
      </w:r>
      <w:r>
        <w:rPr>
          <w:rFonts w:cs="Calibri"/>
        </w:rPr>
        <w:t xml:space="preserve">weiterführend </w:t>
      </w:r>
      <w:r w:rsidRPr="00136EEF">
        <w:rPr>
          <w:rFonts w:cs="Calibri"/>
        </w:rPr>
        <w:t>als Ausgangspunkt, um daraus resultierende pädagogische Implikationen im Kontext spezifischer Bildungsherausforderungen zu diskutieren.</w:t>
      </w:r>
      <w:r>
        <w:rPr>
          <w:rFonts w:cs="Calibri"/>
        </w:rPr>
        <w:t xml:space="preserve"> </w:t>
      </w:r>
      <w:r w:rsidRPr="004918FA">
        <w:rPr>
          <w:rFonts w:cs="Calibri"/>
        </w:rPr>
        <w:t>Dabei wird sowohl auf die vorausgegangene Analyse als auch exemplarisch auf erziehungswissenschaftliche Erkenntnisse sowie auf vergleichende Befunde aus der Islamismusforschung zurückgegriffen, um (1) die Relevanz einer vertieften Auseinandersetzung zu verdeutlichen und (2) erste pädagogische Ableitungen für den deutschen Kontext zu entwickeln; insbesondere im Hinblick auf die zweite Forschungsfrage nach den pädagogischen Implikationen einer christlich-fundamentalistischen Erziehung.</w:t>
      </w:r>
      <w:r>
        <w:rPr>
          <w:rFonts w:cs="Calibri"/>
        </w:rPr>
        <w:t xml:space="preserve"> </w:t>
      </w:r>
      <w:r w:rsidRPr="007C1C73">
        <w:rPr>
          <w:rFonts w:cs="Calibri"/>
        </w:rPr>
        <w:t>Der Fokus liegt weniger auf konkreten Erziehungspraktiken oder Sozialisierungsprozessen innerhalb fundamentalistische</w:t>
      </w:r>
      <w:r>
        <w:rPr>
          <w:rFonts w:cs="Calibri"/>
        </w:rPr>
        <w:t>r</w:t>
      </w:r>
      <w:r w:rsidRPr="007C1C73">
        <w:rPr>
          <w:rFonts w:cs="Calibri"/>
        </w:rPr>
        <w:t xml:space="preserve"> Milieus selbst, so relevant und notwendig deren Betrachtung im Einzelnen auch </w:t>
      </w:r>
      <w:r>
        <w:rPr>
          <w:rFonts w:cs="Calibri"/>
        </w:rPr>
        <w:t>sei</w:t>
      </w:r>
      <w:r w:rsidRPr="007C1C73">
        <w:rPr>
          <w:rFonts w:cs="Calibri"/>
        </w:rPr>
        <w:t>. Vielmehr geht es darum, auf einer strukturellen Ebene anzusetzen und</w:t>
      </w:r>
      <w:r>
        <w:rPr>
          <w:rFonts w:cs="Calibri"/>
        </w:rPr>
        <w:t xml:space="preserve"> beispielhaft</w:t>
      </w:r>
      <w:r w:rsidRPr="007C1C73">
        <w:rPr>
          <w:rFonts w:cs="Calibri"/>
        </w:rPr>
        <w:t xml:space="preserve"> erste pädagogische Überlegungen zu skizzieren, welche Herausforderungen sich für </w:t>
      </w:r>
      <w:r w:rsidRPr="007C1C73">
        <w:rPr>
          <w:rFonts w:cs="Calibri"/>
        </w:rPr>
        <w:lastRenderedPageBreak/>
        <w:t xml:space="preserve">Bildungseinrichtungen im Umgang mit (christlich) fundamentalistisch geprägten Weltbildern </w:t>
      </w:r>
      <w:r>
        <w:rPr>
          <w:rFonts w:cs="Calibri"/>
        </w:rPr>
        <w:t>ergeben können</w:t>
      </w:r>
      <w:r w:rsidRPr="007C1C73">
        <w:rPr>
          <w:rFonts w:cs="Calibri"/>
        </w:rPr>
        <w:t>.</w:t>
      </w:r>
    </w:p>
    <w:p w14:paraId="524F48CF" w14:textId="77777777" w:rsidR="00A768F4" w:rsidRPr="00CF14DD" w:rsidRDefault="00A768F4" w:rsidP="00DA6E88">
      <w:pPr>
        <w:pStyle w:val="berschrift2"/>
        <w:numPr>
          <w:ilvl w:val="0"/>
          <w:numId w:val="0"/>
        </w:numPr>
        <w:spacing w:after="160"/>
        <w:ind w:left="576" w:hanging="576"/>
        <w:rPr>
          <w:rFonts w:asciiTheme="minorHAnsi" w:hAnsiTheme="minorHAnsi" w:cstheme="minorHAnsi"/>
          <w:color w:val="016D72"/>
          <w:sz w:val="26"/>
          <w:szCs w:val="26"/>
        </w:rPr>
      </w:pPr>
      <w:bookmarkStart w:id="92" w:name="_Toc215819949"/>
      <w:r w:rsidRPr="00CF14DD">
        <w:rPr>
          <w:rFonts w:asciiTheme="minorHAnsi" w:hAnsiTheme="minorHAnsi" w:cstheme="minorHAnsi"/>
          <w:color w:val="016D72"/>
          <w:sz w:val="26"/>
          <w:szCs w:val="26"/>
        </w:rPr>
        <w:t>6.1. Reaktionär: Digitale (Gegen-)Bewegungen und antipluralistische Deutungsangebote</w:t>
      </w:r>
      <w:bookmarkEnd w:id="92"/>
    </w:p>
    <w:p w14:paraId="46A90A8F" w14:textId="77777777" w:rsidR="00A768F4" w:rsidRPr="00496E39" w:rsidRDefault="00A768F4" w:rsidP="00A768F4">
      <w:pPr>
        <w:tabs>
          <w:tab w:val="left" w:pos="5217"/>
        </w:tabs>
        <w:spacing w:line="276" w:lineRule="auto"/>
        <w:jc w:val="both"/>
        <w:rPr>
          <w:rFonts w:cs="Calibri"/>
        </w:rPr>
      </w:pPr>
      <w:r w:rsidRPr="00496E39">
        <w:rPr>
          <w:rFonts w:cs="Calibri"/>
        </w:rPr>
        <w:t>Es wurde zuvor analysiert, dass sich Soziale Medien zu zentralen Kommunikationsmitteln und Erfahrungsräumen von Kindern und Jugendlichen entwickelt haben. Ein Großteil ihrer sozialen Interaktion und Informationsaufnahme findet auf diesen Kanälen (u. a. YouTube, Instagram oder TikTok) statt. Neben den Potenzialen für Austausch und Selbstinszenierung können diese Medien Räume darstellen, in denen Heranwachsende häufig mit Fake News, extremen politischen Ansichten oder Verschwörungs</w:t>
      </w:r>
      <w:r>
        <w:rPr>
          <w:rFonts w:cs="Calibri"/>
        </w:rPr>
        <w:t>narrativ</w:t>
      </w:r>
      <w:r w:rsidRPr="00496E39">
        <w:rPr>
          <w:rFonts w:cs="Calibri"/>
        </w:rPr>
        <w:t xml:space="preserve">en in Kontakt kommen </w:t>
      </w:r>
      <w:r w:rsidRPr="00496E39">
        <w:rPr>
          <w:rFonts w:cs="Calibri"/>
        </w:rPr>
        <w:fldChar w:fldCharType="begin"/>
      </w:r>
      <w:r w:rsidRPr="00496E39">
        <w:rPr>
          <w:rFonts w:cs="Calibri"/>
        </w:rPr>
        <w:instrText xml:space="preserve"> ADDIN ZOTERO_ITEM CSL_CITATION {"citationID":"af107ibld5","properties":{"formattedCitation":"(Feierabend u.\\uc0\\u160{}a. 2024)","plainCitation":"(Feierabend u. a. 2024)","dontUpdate":true,"noteIndex":0},"citationItems":[{"id":374,"uris":["http://zotero.org/users/14566843/items/3JZFG7CJ"],"itemData":{"id":374,"type":"report","page":"1-72","publisher":"Medienpädagogischer Forschungsverbund Südwest","title":"JIM 2024; Jugend, Information, Medien Basisuntersuchung zum Medienumgang 12- bis 19-Jähriger in Deutschland","author":[{"family":"Feierabend","given":"Sabine"},{"family":"Rathgeb","given":"Thomas"},{"family":"Gerigk","given":"Yvonne"},{"family":"Glöckler","given":"Stephan"}],"issued":{"date-parts":[["2024"]]}}}],"schema":"https://github.com/citation-style-language/schema/raw/master/csl-citation.json"} </w:instrText>
      </w:r>
      <w:r w:rsidRPr="00496E39">
        <w:rPr>
          <w:rFonts w:cs="Calibri"/>
        </w:rPr>
        <w:fldChar w:fldCharType="separate"/>
      </w:r>
      <w:r w:rsidRPr="00496E39">
        <w:rPr>
          <w:rFonts w:cs="Calibri"/>
        </w:rPr>
        <w:t>(Feierabend et al. 2024, 53-59)</w:t>
      </w:r>
      <w:r w:rsidRPr="00496E39">
        <w:rPr>
          <w:rFonts w:cs="Calibri"/>
        </w:rPr>
        <w:fldChar w:fldCharType="end"/>
      </w:r>
      <w:r w:rsidRPr="00496E39">
        <w:rPr>
          <w:rFonts w:cs="Calibri"/>
        </w:rPr>
        <w:t xml:space="preserve">.  Auch religiös-fundamentalistische </w:t>
      </w:r>
      <w:proofErr w:type="gramStart"/>
      <w:r w:rsidRPr="00496E39">
        <w:rPr>
          <w:rFonts w:cs="Calibri"/>
        </w:rPr>
        <w:t>Akteur:innen</w:t>
      </w:r>
      <w:proofErr w:type="gramEnd"/>
      <w:r w:rsidRPr="00496E39">
        <w:rPr>
          <w:rFonts w:cs="Calibri"/>
        </w:rPr>
        <w:t xml:space="preserve"> haben dieses Potenzial erkannt. Durch Internationalisierungsbewegungen und damit einhergehenden Social Media</w:t>
      </w:r>
      <w:r>
        <w:rPr>
          <w:rFonts w:cs="Calibri"/>
        </w:rPr>
        <w:t>-</w:t>
      </w:r>
      <w:r w:rsidRPr="00496E39">
        <w:rPr>
          <w:rFonts w:cs="Calibri"/>
        </w:rPr>
        <w:t xml:space="preserve">Trends können Inhalte, die sich von modernen oder liberalen Glaubens- und Lebensentwürfen abwenden, international </w:t>
      </w:r>
      <w:r w:rsidRPr="00496E39">
        <w:rPr>
          <w:rFonts w:cs="Calibri"/>
          <w:i/>
          <w:iCs/>
        </w:rPr>
        <w:t>trenden</w:t>
      </w:r>
      <w:r w:rsidRPr="00496E39">
        <w:rPr>
          <w:rFonts w:cs="Calibri"/>
        </w:rPr>
        <w:t>. So greifen zuvor beschriebene Christfluencer:innen häufig konservative und antimodernistische Themen</w:t>
      </w:r>
      <w:r>
        <w:rPr>
          <w:rFonts w:cs="Calibri"/>
        </w:rPr>
        <w:t>,</w:t>
      </w:r>
      <w:r w:rsidRPr="00496E39">
        <w:rPr>
          <w:rFonts w:cs="Calibri"/>
        </w:rPr>
        <w:t xml:space="preserve"> wie den Tradwife-Lifestyle </w:t>
      </w:r>
      <w:r w:rsidRPr="00496E39">
        <w:rPr>
          <w:rFonts w:cs="Calibri"/>
        </w:rPr>
        <w:fldChar w:fldCharType="begin"/>
      </w:r>
      <w:r w:rsidRPr="00496E39">
        <w:rPr>
          <w:rFonts w:cs="Calibri"/>
        </w:rPr>
        <w:instrText xml:space="preserve"> ADDIN ZOTERO_ITEM CSL_CITATION {"citationID":"ahdn9kf6kp","properties":{"formattedCitation":"\\uldash{(Sykes und Hopner 2024)}","plainCitation":"(Sykes und Hopner 2024)","dontUpdate":true,"noteIndex":0},"citationItems":[{"id":375,"uris":["http://zotero.org/users/14566843/items/U25TNTCT"],"itemData":{"id":375,"type":"article-journal","abstract":"Globalizing anti-globalism and modernizing the anti-modern, Tradwives are communities of right-wing women who commercialize social media to commodify traditional heteronormative renditions of femininity that are equal parts ideology and aesthetic. As social media influencers, Tradwives grow social networks and expand audiences by monetizing right-wing ideologies and curating particular versions of wife and mother. A netnographic analysis designed to understand online cultures and communications was used to observe thirty-six Tradwife social media profiles over a 10-month period in 2022. Employing Koestler’s Theory of Holarchies, four key findings or “holons” comprised a holography or representation of Tradwife culture captured at a certain point in time. The Tradwife Landscape explored these women across a right-wing landscape, Cross-platform Influencers, outlined Tradwives operating across a variety of social media platforms; Feminine not Feminist, discussed Tradwives’ (anti)feminist standpoints; and The Tradwife Side-Hustle, examined the monetization of Tradwife culture. As an alive and growing ecosystem, Tradwife subculture offers supportive and empowered spaces for women wishing to take up roles as archetypal wives and mothers within highly conservative lifestyles. As agents of Tradwife subculture and wider right-wing communities, Tradwives raise important questions about gender and gendered relationships, sexuality, legal practices, public policy, and political systems. Above all else, Tradwives offer comments on the autonomy and agency women have in their everyday lives.","container-title":"Journal of Contemporary Ethnography","DOI":"10.1177/08912416241246273","ISSN":"0891-2416, 1552-5414","issue":"4","journalAbbreviation":"Journal of Contemporary Ethnography","language":"en","page":"453-487","source":"DOI.org (Crossref)","title":"Tradwives: Right-Wing Social Media Influencers","title-short":"Tradwives","volume":"53","author":[{"family":"Sykes","given":"Sophia"},{"family":"Hopner","given":"Veronica"}],"issued":{"date-parts":[["2024",8]]}}}],"schema":"https://github.com/citation-style-language/schema/raw/master/csl-citation.json"} </w:instrText>
      </w:r>
      <w:r w:rsidRPr="00496E39">
        <w:rPr>
          <w:rFonts w:cs="Calibri"/>
        </w:rPr>
        <w:fldChar w:fldCharType="separate"/>
      </w:r>
      <w:r w:rsidRPr="00496E39">
        <w:rPr>
          <w:rFonts w:cs="Calibri"/>
        </w:rPr>
        <w:t>(Sykes und Hopner 2024, 456-467</w:t>
      </w:r>
      <w:r w:rsidRPr="00496E39">
        <w:rPr>
          <w:rFonts w:cs="Calibri"/>
        </w:rPr>
        <w:fldChar w:fldCharType="end"/>
      </w:r>
      <w:r w:rsidRPr="00496E39">
        <w:rPr>
          <w:rFonts w:cs="Calibri"/>
        </w:rPr>
        <w:t xml:space="preserve">; </w:t>
      </w:r>
      <w:r w:rsidRPr="00496E39">
        <w:rPr>
          <w:rFonts w:cs="Calibri"/>
        </w:rPr>
        <w:fldChar w:fldCharType="begin"/>
      </w:r>
      <w:r w:rsidRPr="00496E39">
        <w:rPr>
          <w:rFonts w:cs="Calibri"/>
        </w:rPr>
        <w:instrText xml:space="preserve"> ADDIN ZOTERO_ITEM CSL_CITATION {"citationID":"ahl2tj7dpf","properties":{"formattedCitation":"\\uldash{(Scott und Day 2025)}","plainCitation":"(Scott und Day 2025)","dontUpdate":true,"noteIndex":0},"citationItems":[{"id":377,"uris":["http://zotero.org/users/14566843/items/XSFVP2I8"],"itemData":{"id":377,"type":"article-journal","container-title":"Gender and Education","DOI":"10.1080/09540253.2025.2546050","ISSN":"0954-0253, 1360-0516","journalAbbreviation":"Gender and Education","language":"en","page":"1-18","source":"DOI.org (Crossref)","title":"TikTok tradwives: femininity, reproduction, and social media","title-short":"TikTok tradwives","author":[{"family":"Scott","given":"Kate"},{"family":"Day","given":"Lindsay"}],"issued":{"date-parts":[["2025",8,19]]}}}],"schema":"https://github.com/citation-style-language/schema/raw/master/csl-citation.json"} </w:instrText>
      </w:r>
      <w:r w:rsidRPr="00496E39">
        <w:rPr>
          <w:rFonts w:cs="Calibri"/>
        </w:rPr>
        <w:fldChar w:fldCharType="separate"/>
      </w:r>
      <w:r w:rsidRPr="00496E39">
        <w:rPr>
          <w:rFonts w:cs="Calibri"/>
        </w:rPr>
        <w:t>Scott und Day 2025,</w:t>
      </w:r>
      <w:r w:rsidRPr="00496E39">
        <w:rPr>
          <w:rFonts w:cs="Calibri"/>
        </w:rPr>
        <w:fldChar w:fldCharType="end"/>
      </w:r>
      <w:r w:rsidRPr="00496E39">
        <w:rPr>
          <w:rFonts w:cs="Calibri"/>
        </w:rPr>
        <w:t xml:space="preserve"> 5-10) oder Ereignisse</w:t>
      </w:r>
      <w:r>
        <w:rPr>
          <w:rFonts w:cs="Calibri"/>
        </w:rPr>
        <w:t>,</w:t>
      </w:r>
      <w:r w:rsidRPr="00496E39">
        <w:rPr>
          <w:rFonts w:cs="Calibri"/>
        </w:rPr>
        <w:t xml:space="preserve"> wie den Mord an dem ultrarechten Influencer und Aktivisten Charly Kirk</w:t>
      </w:r>
      <w:r>
        <w:rPr>
          <w:rFonts w:cs="Calibri"/>
        </w:rPr>
        <w:t>,</w:t>
      </w:r>
      <w:r w:rsidRPr="00496E39">
        <w:rPr>
          <w:rFonts w:cs="Calibri"/>
        </w:rPr>
        <w:t xml:space="preserve"> auf und instrumentalisieren diese nicht selten ideologisch. Diese Inhalte sprechen vor allem junge Menschen an. Besonders, aber nicht ausschließlich, Jugendliche, die bereits in christlich-fundamentalistischen Kontexten sozialisiert wurden </w:t>
      </w:r>
      <w:r w:rsidRPr="00496E39">
        <w:rPr>
          <w:rFonts w:cs="Calibri"/>
        </w:rPr>
        <w:fldChar w:fldCharType="begin"/>
      </w:r>
      <w:r w:rsidRPr="00496E39">
        <w:rPr>
          <w:rFonts w:cs="Calibri"/>
        </w:rPr>
        <w:instrText xml:space="preserve"> ADDIN ZOTERO_ITEM CSL_CITATION {"citationID":"al83mpifir","properties":{"formattedCitation":"(M\\uc0\\u252{}ller 2023)","plainCitation":"(Müller 2023)","noteIndex":0},"citationItems":[{"id":250,"uris":["http://zotero.org/users/14566843/items/7X9Q6DSJ"],"itemData":{"id":250,"type":"report","publisher":"Universität Zürich","title":"#Follow Jesus – Wie Christfluencer:innen auf sozialen Medien wahrgenommen werden; Das Phänomen Christfluencer:innen","author":[{"family":"Müller","given":"Julia"}],"accessed":{"date-parts":[["2025",7,14]]},"issued":{"date-parts":[["2023"]]}}}],"schema":"https://github.com/citation-style-language/schema/raw/master/csl-citation.json"} </w:instrText>
      </w:r>
      <w:r w:rsidRPr="00496E39">
        <w:rPr>
          <w:rFonts w:cs="Calibri"/>
        </w:rPr>
        <w:fldChar w:fldCharType="separate"/>
      </w:r>
      <w:r w:rsidRPr="00496E39">
        <w:rPr>
          <w:rFonts w:cs="Calibri"/>
        </w:rPr>
        <w:t>(Müller 2023)</w:t>
      </w:r>
      <w:r w:rsidRPr="00496E39">
        <w:rPr>
          <w:rFonts w:cs="Calibri"/>
        </w:rPr>
        <w:fldChar w:fldCharType="end"/>
      </w:r>
      <w:r w:rsidRPr="00496E39">
        <w:rPr>
          <w:rFonts w:cs="Calibri"/>
        </w:rPr>
        <w:t xml:space="preserve">, finden darin Anknüpfungspunkte, Orientierung und die Bestätigung ihrer erlernten Weltsicht. </w:t>
      </w:r>
    </w:p>
    <w:p w14:paraId="5E06F63A" w14:textId="77777777" w:rsidR="00A768F4" w:rsidRPr="00496E39" w:rsidRDefault="00A768F4" w:rsidP="00A768F4">
      <w:pPr>
        <w:tabs>
          <w:tab w:val="left" w:pos="5217"/>
        </w:tabs>
        <w:spacing w:line="276" w:lineRule="auto"/>
        <w:jc w:val="both"/>
        <w:rPr>
          <w:rFonts w:cs="Calibri"/>
        </w:rPr>
      </w:pPr>
      <w:r w:rsidRPr="00496E39">
        <w:rPr>
          <w:rFonts w:cs="Calibri"/>
        </w:rPr>
        <w:t xml:space="preserve">Im deutschen Kontext kann eine ähnliche Praxis auch bei islamistischen </w:t>
      </w:r>
      <w:proofErr w:type="gramStart"/>
      <w:r w:rsidRPr="00496E39">
        <w:rPr>
          <w:rFonts w:cs="Calibri"/>
        </w:rPr>
        <w:t>Akteur:innen</w:t>
      </w:r>
      <w:proofErr w:type="gramEnd"/>
      <w:r w:rsidRPr="00496E39">
        <w:rPr>
          <w:rFonts w:cs="Calibri"/>
        </w:rPr>
        <w:t xml:space="preserve"> beobachtet werden. Diese greifen gezielt liberal-moderne Themen</w:t>
      </w:r>
      <w:r>
        <w:rPr>
          <w:rFonts w:cs="Calibri"/>
        </w:rPr>
        <w:t>,</w:t>
      </w:r>
      <w:r w:rsidRPr="00496E39">
        <w:rPr>
          <w:rFonts w:cs="Calibri"/>
        </w:rPr>
        <w:t xml:space="preserve"> wie Homosexualität oder Feminismus</w:t>
      </w:r>
      <w:r>
        <w:rPr>
          <w:rFonts w:cs="Calibri"/>
        </w:rPr>
        <w:t>,</w:t>
      </w:r>
      <w:r w:rsidRPr="00496E39">
        <w:rPr>
          <w:rFonts w:cs="Calibri"/>
        </w:rPr>
        <w:t xml:space="preserve"> auf, um diese im eigenen Sinne zu interpretieren und sich in Abgrenzung </w:t>
      </w:r>
      <w:r w:rsidRPr="00EB3DB6">
        <w:rPr>
          <w:rFonts w:cs="Calibri"/>
        </w:rPr>
        <w:t xml:space="preserve">und sich in Abgrenzung zum </w:t>
      </w:r>
      <w:r w:rsidRPr="00EB3DB6">
        <w:rPr>
          <w:rFonts w:cs="Calibri"/>
          <w:i/>
          <w:iCs/>
        </w:rPr>
        <w:t>Weltlichen</w:t>
      </w:r>
      <w:r w:rsidRPr="00EB3DB6">
        <w:rPr>
          <w:rFonts w:cs="Calibri"/>
        </w:rPr>
        <w:t xml:space="preserve"> und zu als säkular verstandenen </w:t>
      </w:r>
      <w:r>
        <w:rPr>
          <w:rFonts w:cs="Calibri"/>
        </w:rPr>
        <w:t>Normvorstellungen</w:t>
      </w:r>
      <w:r w:rsidRPr="00EB3DB6">
        <w:rPr>
          <w:rFonts w:cs="Calibri"/>
        </w:rPr>
        <w:t xml:space="preserve"> zu positionieren</w:t>
      </w:r>
      <w:r w:rsidRPr="00496E39">
        <w:rPr>
          <w:rFonts w:cs="Calibri"/>
        </w:rPr>
        <w:t xml:space="preserve"> </w:t>
      </w:r>
      <w:r w:rsidRPr="00496E39">
        <w:rPr>
          <w:rFonts w:cs="Calibri"/>
        </w:rPr>
        <w:fldChar w:fldCharType="begin"/>
      </w:r>
      <w:r w:rsidRPr="00496E39">
        <w:rPr>
          <w:rFonts w:cs="Calibri"/>
        </w:rPr>
        <w:instrText xml:space="preserve"> ADDIN ZOTERO_ITEM CSL_CITATION {"citationID":"aira85d6qp","properties":{"formattedCitation":"\\uldash{(Korucu 2025)}","plainCitation":"(Korucu 2025)","dontUpdate":true,"noteIndex":0},"citationItems":[{"id":379,"uris":["http://zotero.org/users/14566843/items/JX7R9X7L"],"itemData":{"id":379,"type":"article-journal","container-title":"BZKJAKTUELL","issue":"3","page":"11-15","title":"Antifeministische und LGBTIQ*-feindliche Narrative in islamistischen Online-Inhalten und ihre Wirkung auf Jugendliche","volume":"2025","author":[{"family":"Korucu","given":"Canan"}],"issued":{"date-parts":[["2025"]]}}}],"schema":"https://github.com/citation-style-language/schema/raw/master/csl-citation.json"} </w:instrText>
      </w:r>
      <w:r w:rsidRPr="00496E39">
        <w:rPr>
          <w:rFonts w:cs="Calibri"/>
        </w:rPr>
        <w:fldChar w:fldCharType="separate"/>
      </w:r>
      <w:r w:rsidRPr="00496E39">
        <w:rPr>
          <w:rFonts w:cs="Calibri"/>
        </w:rPr>
        <w:t xml:space="preserve">(Korucu 2025, </w:t>
      </w:r>
      <w:r w:rsidRPr="00496E39">
        <w:rPr>
          <w:rFonts w:cs="Calibri"/>
        </w:rPr>
        <w:fldChar w:fldCharType="end"/>
      </w:r>
      <w:r w:rsidRPr="00496E39">
        <w:rPr>
          <w:rFonts w:cs="Calibri"/>
        </w:rPr>
        <w:t>11-12). Dabei wird häufig auch mit einer starken Reaktions-</w:t>
      </w:r>
      <w:r>
        <w:rPr>
          <w:rFonts w:cs="Calibri"/>
        </w:rPr>
        <w:t>/</w:t>
      </w:r>
      <w:r w:rsidRPr="00496E39">
        <w:rPr>
          <w:rFonts w:cs="Calibri"/>
        </w:rPr>
        <w:t>Gegenreaktions-Dynamik gearbeitet. So werden rassistische Ressentiments, die in der deutschen Mehrheitsgesellschaft unbestreitbar vorherrschen, eigenständig verstärkt</w:t>
      </w:r>
      <w:r>
        <w:rPr>
          <w:rFonts w:cs="Calibri"/>
        </w:rPr>
        <w:t>,</w:t>
      </w:r>
      <w:r w:rsidRPr="00496E39">
        <w:rPr>
          <w:rFonts w:cs="Calibri"/>
        </w:rPr>
        <w:t xml:space="preserve"> um dadurch die stärkere Gegenreaktion der Follower:innen zu provozieren </w:t>
      </w:r>
      <w:r w:rsidRPr="00496E39">
        <w:rPr>
          <w:rFonts w:cs="Calibri"/>
        </w:rPr>
        <w:fldChar w:fldCharType="begin"/>
      </w:r>
      <w:r w:rsidRPr="00496E39">
        <w:rPr>
          <w:rFonts w:cs="Calibri"/>
        </w:rPr>
        <w:instrText xml:space="preserve"> ADDIN ZOTERO_ITEM CSL_CITATION {"citationID":"afkd812o9o","properties":{"formattedCitation":"\\uldash{(Farkas u.\\uc0\\u160{}a. 2018)}","plainCitation":"(Farkas u. a. 2018)","dontUpdate":true,"noteIndex":0},"citationItems":[{"id":362,"uris":["http://zotero.org/users/14566843/items/WH4GLBZP"],"itemData":{"id":362,"type":"article-journal","abstract":"This research analyses cloaked Facebook pages that are created to spread political propaganda by cloaking a user profile and imitating the identity of a political opponent in order to spark hateful and aggressive reactions. This inquiry is pursued through a multi-sited online ethnographic case study of Danish Facebook pages disguised as radical Islamist pages, which provoked racist and anti-Muslim reactions as well as negative sentiments towards refugees and immigrants in Denmark in general. Drawing on Jessie Daniels’ critical insights into cloaked websites, this research furthermore analyses the epistemological, methodological and conceptual challenges of online propaganda. It enhances our understanding of disinformation and propaganda in an increasingly interactive social media environment and contributes to a critical inquiry into social media and subversive politics.","container-title":"New Media &amp; Society","DOI":"10.1177/1461444817707759","ISSN":"1461-4448, 1461-7315","issue":"5","journalAbbreviation":"New Media &amp; Society","language":"en","page":"1850-1867","source":"DOI.org (Crossref)","title":"Cloaked Facebook pages: Exploring fake Islamist propaganda in social media","title-short":"Cloaked Facebook pages","volume":"20","author":[{"family":"Farkas","given":"Johan"},{"family":"Schou","given":"Jannick"},{"family":"Neumayer","given":"Christina"}],"issued":{"date-parts":[["2018",5]]}}}],"schema":"https://github.com/citation-style-language/schema/raw/master/csl-citation.json"} </w:instrText>
      </w:r>
      <w:r w:rsidRPr="00496E39">
        <w:rPr>
          <w:rFonts w:cs="Calibri"/>
        </w:rPr>
        <w:fldChar w:fldCharType="separate"/>
      </w:r>
      <w:r w:rsidRPr="00496E39">
        <w:rPr>
          <w:rFonts w:cs="Calibri"/>
        </w:rPr>
        <w:t>(Farkas, Schou und Neumayer 2018</w:t>
      </w:r>
      <w:r w:rsidRPr="00496E39">
        <w:rPr>
          <w:rFonts w:cs="Calibri"/>
        </w:rPr>
        <w:fldChar w:fldCharType="end"/>
      </w:r>
      <w:r w:rsidRPr="00496E39">
        <w:rPr>
          <w:rFonts w:cs="Calibri"/>
        </w:rPr>
        <w:t xml:space="preserve">, 858-859). Inwieweit dieser Mechanismus auf christlich-fundamentalistische Strömungen übertragbar ist, kann an dieser Stelle nicht abschließend analysiert werden. Es fällt jedoch auf, dass auch in islamistischen Kontexten die </w:t>
      </w:r>
      <w:r w:rsidRPr="00496E39">
        <w:rPr>
          <w:rFonts w:cs="Calibri"/>
          <w:i/>
          <w:iCs/>
        </w:rPr>
        <w:t>äußere</w:t>
      </w:r>
      <w:r w:rsidRPr="00496E39">
        <w:rPr>
          <w:rFonts w:cs="Calibri"/>
        </w:rPr>
        <w:t xml:space="preserve"> Welt als feindlich und schädlich für die Gläubigen</w:t>
      </w:r>
      <w:r>
        <w:rPr>
          <w:rFonts w:cs="Calibri"/>
        </w:rPr>
        <w:t>,</w:t>
      </w:r>
      <w:r w:rsidRPr="00496E39">
        <w:rPr>
          <w:rFonts w:cs="Calibri"/>
        </w:rPr>
        <w:t xml:space="preserve"> aber auch für potenzielle Gläubige dargestellt wird und die Hinwendung zu einer fundamentalistischen, und im islamistischen Kontext zum Teil extremistischen, Religionsausübung intendiert wird. </w:t>
      </w:r>
    </w:p>
    <w:p w14:paraId="4C20E696" w14:textId="77777777" w:rsidR="00A768F4" w:rsidRPr="00CF14DD" w:rsidRDefault="00A768F4" w:rsidP="00DA6E88">
      <w:pPr>
        <w:pStyle w:val="berschrift2"/>
        <w:numPr>
          <w:ilvl w:val="0"/>
          <w:numId w:val="0"/>
        </w:numPr>
        <w:spacing w:after="160"/>
        <w:ind w:left="576" w:hanging="576"/>
        <w:rPr>
          <w:rFonts w:asciiTheme="minorHAnsi" w:hAnsiTheme="minorHAnsi" w:cstheme="minorHAnsi"/>
          <w:sz w:val="26"/>
          <w:szCs w:val="26"/>
        </w:rPr>
      </w:pPr>
      <w:bookmarkStart w:id="93" w:name="_Toc215819950"/>
      <w:r w:rsidRPr="00CF14DD">
        <w:rPr>
          <w:rFonts w:asciiTheme="minorHAnsi" w:hAnsiTheme="minorHAnsi" w:cstheme="minorHAnsi"/>
          <w:color w:val="016D72"/>
          <w:sz w:val="26"/>
          <w:szCs w:val="26"/>
        </w:rPr>
        <w:t>6.2. Modern: Sinn- und Identitätssuche in der Jugend</w:t>
      </w:r>
      <w:bookmarkEnd w:id="93"/>
    </w:p>
    <w:p w14:paraId="253AE854" w14:textId="77777777" w:rsidR="00A768F4" w:rsidRDefault="00A768F4" w:rsidP="00A768F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cs="Calibri"/>
          <w:color w:val="000000" w:themeColor="text1"/>
        </w:rPr>
      </w:pPr>
      <w:r w:rsidRPr="00496E39">
        <w:rPr>
          <w:bCs/>
        </w:rPr>
        <w:t xml:space="preserve">Wenn von Jugend die Rede ist, wird damit häufig ein bestimmtes Alter oder ein biologischer Entwicklungsstand assoziiert. Ullrich Bauer verweist jedoch auf eine weitere und für die pädagogische Betrachtung zentrale Ebene: Jugend als jene Phase der Sozialisation, in der eine grundlegende „Auseinandersetzung mit Autonomie“ stattfindet und in der entsprechende Autonomietendenzen ausgebildet werden (können)  </w:t>
      </w:r>
      <w:r w:rsidRPr="00496E39">
        <w:rPr>
          <w:bCs/>
        </w:rPr>
        <w:fldChar w:fldCharType="begin"/>
      </w:r>
      <w:r w:rsidRPr="00496E39">
        <w:rPr>
          <w:bCs/>
        </w:rPr>
        <w:instrText xml:space="preserve"> ADDIN ZOTERO_ITEM CSL_CITATION {"citationID":"aq791l5kae","properties":{"formattedCitation":"\\uldash{(Bauer 2023)}","plainCitation":"(Bauer 2023)","dontUpdate":true,"noteIndex":0},"citationItems":[{"id":423,"uris":["http://zotero.org/users/14566843/items/XBXNL8VR"],"itemData":{"id":423,"type":"book","abstract":"Funktioniert das Soziale ohne Sozialisation? Die frühen Ansätze der Sozialisationsforschung betonen, dass Menschen erst sozial werden und nicht einfach sind. Historisch gesehen ist dies ein Bruch mit dominierenden Vorstellungen vom menschlichen Wesen in Theologie und Philosophie. Doch die sich emanzipierende Wissenschaft hat es schwer. In nur einem Jahrhundert erlebt das Denken über Sozialisation alle Höhen und Tiefen. Es verwissenschaftlicht den Menschen, wehrt sich aber auch gegen Positivismus, sozialen und biologischen Determinismus. Sozialisation ist Kontroverse – noch immer","edition":"1. Auflage","event-place":"Weinheim","ISBN":"978-3-7799-6814-6","language":"ger","number-of-pages":"1","publisher":"Juventa Verlag","publisher-place":"Weinheim","source":"K10plus ISBN","title":"Sozialisation in der Kontroverse","author":[{"family":"Bauer","given":"Ullrich"}],"issued":{"date-parts":[["2023"]]}}}],"schema":"https://github.com/citation-style-language/schema/raw/master/csl-citation.json"} </w:instrText>
      </w:r>
      <w:r w:rsidRPr="00496E39">
        <w:rPr>
          <w:bCs/>
        </w:rPr>
        <w:fldChar w:fldCharType="separate"/>
      </w:r>
      <w:r w:rsidRPr="00496E39">
        <w:rPr>
          <w:rFonts w:cs="Calibri"/>
          <w:bCs/>
        </w:rPr>
        <w:t>(Bauer 2023, 133)</w:t>
      </w:r>
      <w:r w:rsidRPr="00496E39">
        <w:rPr>
          <w:bCs/>
        </w:rPr>
        <w:fldChar w:fldCharType="end"/>
      </w:r>
      <w:r w:rsidRPr="00496E39">
        <w:rPr>
          <w:bCs/>
        </w:rPr>
        <w:t xml:space="preserve">. Denn die Adoleszenz ist durch tiefgreifende Entwicklungsprozesse gekennzeichnet, in denen in Heranwachsenden „Persönlichkeitsmerkmale“ und „Autonomiepotenziale durch Prozesse der Sozialisation eröffnet werden“ </w:t>
      </w:r>
      <w:r w:rsidRPr="00496E39">
        <w:rPr>
          <w:bCs/>
        </w:rPr>
        <w:fldChar w:fldCharType="begin"/>
      </w:r>
      <w:r w:rsidRPr="00496E39">
        <w:rPr>
          <w:bCs/>
        </w:rPr>
        <w:instrText xml:space="preserve"> ADDIN ZOTERO_ITEM CSL_CITATION {"citationID":"a2jtueujrbk","properties":{"formattedCitation":"\\uldash{(Bauer 2012)}","plainCitation":"(Bauer 2012)","dontUpdate":true,"noteIndex":0},"citationItems":[{"id":420,"uris":["http://zotero.org/users/14566843/items/HXYIFLFG"],"itemData":{"id":420,"type":"book","event-place":"Wiesbaden","ISBN":"978-3-531-18189-9","language":"de","license":"https://www.springernature.com/gp/researchers/text-and-data-mining","note":"DOI: 10.1007/978-3-531-93488-4","publisher":"VS Verlag für Sozialwissenschaften","publisher-place":"Wiesbaden","source":"DOI.org (Crossref)","title":"Sozialisation und Ungleichheit: Eine Hinführung","title-short":"Sozialisation und Ungleichheit","URL":"https://link.springer.com/10.1007/978-3-531-93488-4","author":[{"family":"Bauer","given":"Ullrich"}],"accessed":{"date-parts":[["2025",11,16]]},"issued":{"date-parts":[["2012"]]}}}],"schema":"https://github.com/citation-style-language/schema/raw/master/csl-citation.json"} </w:instrText>
      </w:r>
      <w:r w:rsidRPr="00496E39">
        <w:rPr>
          <w:bCs/>
        </w:rPr>
        <w:fldChar w:fldCharType="separate"/>
      </w:r>
      <w:r w:rsidRPr="00496E39">
        <w:rPr>
          <w:rFonts w:cs="Calibri"/>
          <w:bCs/>
        </w:rPr>
        <w:t>(Bauer 2012, 176)</w:t>
      </w:r>
      <w:r w:rsidRPr="00496E39">
        <w:rPr>
          <w:bCs/>
        </w:rPr>
        <w:fldChar w:fldCharType="end"/>
      </w:r>
      <w:r w:rsidRPr="00496E39">
        <w:rPr>
          <w:bCs/>
        </w:rPr>
        <w:t xml:space="preserve">; sie sich also zu eigenständigen Akteur:innen entwickeln. Die Fähigkeit, Kritik zu üben, eigenständige Urteile zu </w:t>
      </w:r>
      <w:r>
        <w:rPr>
          <w:bCs/>
        </w:rPr>
        <w:t>fällen</w:t>
      </w:r>
      <w:r w:rsidRPr="00496E39">
        <w:rPr>
          <w:bCs/>
        </w:rPr>
        <w:t xml:space="preserve"> und sich in gesellschaftlichen Zusammenhängen zu positionieren, ist dafür unerlässlich.</w:t>
      </w:r>
      <w:r w:rsidRPr="00496E39">
        <w:rPr>
          <w:b/>
        </w:rPr>
        <w:t xml:space="preserve"> </w:t>
      </w:r>
      <w:r w:rsidRPr="00496E39">
        <w:rPr>
          <w:rFonts w:cs="Calibri"/>
          <w:color w:val="000000" w:themeColor="text1"/>
        </w:rPr>
        <w:lastRenderedPageBreak/>
        <w:t xml:space="preserve">Gleichzeitig ist die Jugend eine Phase, die häufig durch die Suche nach Halt, Antworten auf drängende Lebensfragen und Veränderungswillen geprägt ist </w:t>
      </w:r>
      <w:r w:rsidRPr="00496E39">
        <w:rPr>
          <w:rFonts w:cs="Calibri"/>
          <w:color w:val="000000" w:themeColor="text1"/>
        </w:rPr>
        <w:fldChar w:fldCharType="begin"/>
      </w:r>
      <w:r w:rsidRPr="00496E39">
        <w:rPr>
          <w:rFonts w:cs="Calibri"/>
          <w:color w:val="000000" w:themeColor="text1"/>
        </w:rPr>
        <w:instrText xml:space="preserve"> ADDIN ZOTERO_ITEM CSL_CITATION {"citationID":"a1rcqpudhtf","properties":{"formattedCitation":"\\uldash{(Hurrelmann und Bauer 2015)}","plainCitation":"(Hurrelmann und Bauer 2015)","dontUpdate":true,"noteIndex":0},"citationItems":[{"id":422,"uris":["http://zotero.org/users/14566843/items/T2S4LV6P"],"itemData":{"id":422,"type":"book","abstract":"Diese Einführung behandelt die zentralen psychologischen und soziologischen Theorien der Sozialisation. Neben Definitionen und Konzepten berichten die Autoren über zentrale Instanzen der Sozialisation in Familie, im soziokulturellen Umfeld sowie im Erziehungs- und Bildungssystem. Die inzwischen 11. Auflage vermittelt einen geschlossenen Überblick, der auch die jüngsten Ansätze und Forschungsergebnisse berücksichtigt","edition":"11. Auflage","event-place":"Weinheim","ISBN":"978-3-407-29433-3","language":"ger","number-of-pages":"1","publisher":"Beltz","publisher-place":"Weinheim","source":"K10plus ISBN","title":"Einführung in die Sozialisationstheorie: Das Modell der produktiven Realitätsverarbeitung","title-short":"Einführung in die Sozialisationstheorie","author":[{"family":"Hurrelmann","given":"Klaus"},{"family":"Bauer","given":"Ullrich"}],"issued":{"date-parts":[["2015"]]}}}],"schema":"https://github.com/citation-style-language/schema/raw/master/csl-citation.json"} </w:instrText>
      </w:r>
      <w:r w:rsidRPr="00496E39">
        <w:rPr>
          <w:rFonts w:cs="Calibri"/>
          <w:color w:val="000000" w:themeColor="text1"/>
        </w:rPr>
        <w:fldChar w:fldCharType="separate"/>
      </w:r>
      <w:r w:rsidRPr="00496E39">
        <w:rPr>
          <w:rFonts w:cs="Calibri"/>
          <w:color w:val="000000"/>
        </w:rPr>
        <w:t>(Hurrelmann und Bauer 2015, 43)</w:t>
      </w:r>
      <w:r w:rsidRPr="00496E39">
        <w:rPr>
          <w:rFonts w:cs="Calibri"/>
          <w:color w:val="000000" w:themeColor="text1"/>
        </w:rPr>
        <w:fldChar w:fldCharType="end"/>
      </w:r>
      <w:r w:rsidRPr="00496E39">
        <w:rPr>
          <w:rFonts w:cs="Calibri"/>
          <w:color w:val="000000" w:themeColor="text1"/>
        </w:rPr>
        <w:t xml:space="preserve">. Auch „individuelle und/oder kollektive Gefühle der Unzufriedenheit“ können zur Sinnsuche führen  </w:t>
      </w:r>
      <w:r w:rsidRPr="00496E39">
        <w:rPr>
          <w:rFonts w:cs="Calibri"/>
          <w:color w:val="000000" w:themeColor="text1"/>
        </w:rPr>
        <w:fldChar w:fldCharType="begin"/>
      </w:r>
      <w:r w:rsidRPr="00496E39">
        <w:rPr>
          <w:rFonts w:cs="Calibri"/>
          <w:color w:val="000000" w:themeColor="text1"/>
        </w:rPr>
        <w:instrText xml:space="preserve"> ADDIN ZOTERO_ITEM CSL_CITATION {"citationID":"a1hlcjds3d1","properties":{"formattedCitation":"\\uldash{(Knipping-Sorokin und Stumpf 2018)}","plainCitation":"(Knipping-Sorokin und Stumpf 2018)","dontUpdate":true,"noteIndex":0},"citationItems":[{"id":368,"uris":["http://zotero.org/users/14566843/items/FJTEKVE4"],"itemData":{"id":368,"type":"article-journal","container-title":"kommunikation@gesellschaft","issue":"14","page":"1-29","title":"Radikal Online - Das Internet und die Radikalisierung von Jugendlichen: eine Metaanalyse zum Forschungsfeld","volume":"19","author":[{"family":"Knipping-Sorokin","given":"Roman"},{"family":"Stumpf","given":"Teresa"}],"issued":{"date-parts":[["2018"]]}}}],"schema":"https://github.com/citation-style-language/schema/raw/master/csl-citation.json"} </w:instrText>
      </w:r>
      <w:r w:rsidRPr="00496E39">
        <w:rPr>
          <w:rFonts w:cs="Calibri"/>
          <w:color w:val="000000" w:themeColor="text1"/>
        </w:rPr>
        <w:fldChar w:fldCharType="separate"/>
      </w:r>
      <w:r w:rsidRPr="00496E39">
        <w:rPr>
          <w:rFonts w:cs="Calibri"/>
          <w:color w:val="000000"/>
        </w:rPr>
        <w:t>(Knipping-Sorokin und Stumpf 2018, 3)</w:t>
      </w:r>
      <w:r w:rsidRPr="00496E39">
        <w:rPr>
          <w:rFonts w:cs="Calibri"/>
          <w:color w:val="000000" w:themeColor="text1"/>
        </w:rPr>
        <w:fldChar w:fldCharType="end"/>
      </w:r>
      <w:r w:rsidRPr="00496E39">
        <w:rPr>
          <w:rFonts w:cs="Calibri"/>
          <w:color w:val="000000" w:themeColor="text1"/>
        </w:rPr>
        <w:t>.</w:t>
      </w:r>
    </w:p>
    <w:p w14:paraId="5FEF9E34" w14:textId="77777777" w:rsidR="00A768F4" w:rsidRPr="00F04985" w:rsidRDefault="00A768F4" w:rsidP="00A768F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jc w:val="both"/>
        <w:rPr>
          <w:rFonts w:cs="Calibri"/>
          <w:color w:val="000000" w:themeColor="text1"/>
        </w:rPr>
      </w:pPr>
      <w:r w:rsidRPr="00496E39">
        <w:rPr>
          <w:rFonts w:cs="Calibri"/>
          <w:color w:val="000000" w:themeColor="text1"/>
        </w:rPr>
        <w:t xml:space="preserve">In einer scheinbar </w:t>
      </w:r>
      <w:r w:rsidRPr="00496E39">
        <w:rPr>
          <w:rFonts w:cs="Calibri"/>
        </w:rPr>
        <w:t xml:space="preserve">undurchsichtigen Welt, durch persönliche und gesellschaftliche Krisen und Konflikte getrieben, werden Strukturen attraktiv, die diese Unsicherheiten und Überforderungen scheinbar aufzufangen vermögen. Starke Meinungen und Komplexitätsreduktion </w:t>
      </w:r>
      <w:r w:rsidRPr="00496E39">
        <w:rPr>
          <w:rFonts w:cs="Calibri"/>
        </w:rPr>
        <w:fldChar w:fldCharType="begin"/>
      </w:r>
      <w:r w:rsidRPr="00496E39">
        <w:rPr>
          <w:rFonts w:cs="Calibri"/>
        </w:rPr>
        <w:instrText xml:space="preserve"> ADDIN ZOTERO_ITEM CSL_CITATION {"citationID":"a156b1jiv3o","properties":{"formattedCitation":"\\uldash{(Evans 2018)}","plainCitation":"(Evans 2018)","dontUpdate":true,"noteIndex":0},"citationItems":[{"id":260,"uris":["http://zotero.org/users/14566843/items/62AMLWT4"],"itemData":{"id":260,"type":"book","abstract":"\"Academics have long claimed that the relationship between religion and science concerns knowledge of the physical world, and that conflict ensues because religion has one way of knowing and science another. For example, it is claimed that to find the age of the Earth religious people look to holy scripture and scientists look at the age of rocks. This book shows that this is indeed true among the elites who focus on this debate. However, contrary to the assumptions of elites and public discourse in general, that same relationship and conflict does not exist between religious citizens and science. This book shows that regular religious people in the U.S. are at most in conflict over a few fact claims with science, and that this limited conflict does not lead to conflict with scientific claims writ large. More importantly, American religion has changed since the 1960s, de-emphasizing knowledge claims about the physical world, and becoming more focused on social relationships and thus morality. This book shows that any religion and science debate in the public is not about scientific claims about nature, such as the age of the Earth, but rather about morality - and opposition to the morality implicitly promoted by scientists\"--Provided by publisher","call-number":"BL240.3","event-place":"Oakland, California","ISBN":"978-0-520-96978-0","number-of-pages":"1","publisher":"University of California Press","publisher-place":"Oakland, California","source":"Library of Congress ISBN","title":"Morals not knowledge: recasting the contemporary U.S. conflict between religion and science","title-short":"Morals not knowledge","author":[{"family":"Evans","given":"John Hyde"}],"issued":{"date-parts":[["2018"]]}}}],"schema":"https://github.com/citation-style-language/schema/raw/master/csl-citation.json"} </w:instrText>
      </w:r>
      <w:r w:rsidRPr="00496E39">
        <w:rPr>
          <w:rFonts w:cs="Calibri"/>
        </w:rPr>
        <w:fldChar w:fldCharType="separate"/>
      </w:r>
      <w:r w:rsidRPr="00496E39">
        <w:rPr>
          <w:rFonts w:cs="Calibri"/>
        </w:rPr>
        <w:t>(Evans 2018, 118)</w:t>
      </w:r>
      <w:r w:rsidRPr="00496E39">
        <w:rPr>
          <w:rFonts w:cs="Calibri"/>
        </w:rPr>
        <w:fldChar w:fldCharType="end"/>
      </w:r>
      <w:r w:rsidRPr="00496E39">
        <w:rPr>
          <w:rFonts w:cs="Calibri"/>
        </w:rPr>
        <w:t xml:space="preserve">, strenge Richtlinien, autoritäre Glaubensausrichtungen und Verhaltenskodexe sowie Führungspersönlichkeiten </w:t>
      </w:r>
      <w:r w:rsidRPr="00496E39">
        <w:rPr>
          <w:rFonts w:cs="Calibri"/>
        </w:rPr>
        <w:fldChar w:fldCharType="begin"/>
      </w:r>
      <w:r w:rsidRPr="00496E39">
        <w:rPr>
          <w:rFonts w:cs="Calibri"/>
        </w:rPr>
        <w:instrText xml:space="preserve"> ADDIN ZOTERO_ITEM CSL_CITATION {"citationID":"ah84pna5bg","properties":{"formattedCitation":"\\uldash{(Emerson und Hartman 2006; Peels 2023)}","plainCitation":"(Emerson und Hartman 2006; Peels 2023)","dontUpdate":true,"noteIndex":0},"citationItems":[{"id":236,"uris":["http://zotero.org/users/14566843/items/GLG9ARKI"],"itemData":{"id":236,"type":"article-journal","abstract":"Religious fundamentalism has risen to worldwide prominence since the 1970s. We review research on fundamentalist movements to learn what religious fundamentalisms are, if and why they appear to be resurging, their characteristics, their possible links to violence, and their relation to modernity. Surveying work over the past two decades, we find both substantial progress in sociological research on such movements and major holes in conceptualizing and understanding religious fundamentalism. We consider these weaknesses and suggest where research might next be directed.","container-title":"Annual Review of Sociology","DOI":"10.1146/annurev.soc.32.061604.123141","ISSN":"0360-0572, 1545-2115","issue":"1","journalAbbreviation":"Annu. Rev. Sociol.","language":"en","page":"127-144","source":"DOI.org (Crossref)","title":"The Rise of Religious Fundamentalism","volume":"32","author":[{"family":"Emerson","given":"Michael O."},{"family":"Hartman","given":"David"}],"issued":{"date-parts":[["2006",8,1]]}}},{"id":96,"uris":["http://zotero.org/users/14566843/items/J42UVP3N"],"itemData":{"id":96,"type":"article-journal","abstract":"Abstract\n            This article combines two things: it explores how one should undertake the project of defining ‘fundamentalism’ and, based on the ensuing desiderata, it actually provides such a definition. After a few preliminary comments on ‘fundamentalism’ and the value of defining it, five goals of definitions are distinguished and elucidated: accuracy, precision, fairness, clarity, and fecundity. After that, various kinds of definitions and their interrelations are spelled out. Finally, the author provides and defends a so-called explicative definition of ‘fundamentalism’ both in terms of necessary and sufficient conditions and in terms of stereotypical properties. On the basis of empirical literature and a scoping review, it is argued that a movement is fundamentalist if and only if it is (i) reactionary towards modern developments, (ii) itself modern, and (iii) based on a grand historical narrative. More specifically, a movement is fundamentalist if it exemplifies a large number of the following properties: (i) it is reactionary in its rejection of liberal ethics, science, or technological exploitation; (ii) it is modern in seeking certainty and control, embracing literalism and infallibility about particular scriptures, actively using media and technology, or making universal claims; and (iii) it presents a grand historical narrative in terms of paradise, fall, and redemption, or cosmic dualism.","container-title":"Religious Studies","DOI":"10.1017/S0034412522000683","ISSN":"0034-4125, 1469-901X","issue":"4","journalAbbreviation":"Rel. Stud.","language":"en","page":"729-747","source":"DOI.org (Crossref)","title":"On defining ‘fundamentalism’","volume":"59","author":[{"family":"Peels","given":"Rik"}],"issued":{"date-parts":[["2023",12]]}}}],"schema":"https://github.com/citation-style-language/schema/raw/master/csl-citation.json"} </w:instrText>
      </w:r>
      <w:r w:rsidRPr="00496E39">
        <w:rPr>
          <w:rFonts w:cs="Calibri"/>
        </w:rPr>
        <w:fldChar w:fldCharType="separate"/>
      </w:r>
      <w:r w:rsidRPr="00496E39">
        <w:rPr>
          <w:rFonts w:cs="Calibri"/>
        </w:rPr>
        <w:t>(Emerson und Hartman 2006, 134 ; Peels 2023, 744)</w:t>
      </w:r>
      <w:r w:rsidRPr="00496E39">
        <w:rPr>
          <w:rFonts w:cs="Calibri"/>
        </w:rPr>
        <w:fldChar w:fldCharType="end"/>
      </w:r>
      <w:r w:rsidRPr="00496E39">
        <w:rPr>
          <w:rFonts w:cs="Calibri"/>
        </w:rPr>
        <w:t xml:space="preserve"> können während dieser vulnerablen Entwicklungszeitpunkte Sicherheit und eben diese vermeintlich fehlende Struktur bieten. Dies kann bei Jugendlichen zu starken Attraktivitätsmomenten führen. Mehr noch werden Vorgaben fundamentalistischer Gemeinschaften oder Führungspersönlichkeiten als gottgegeben begründet: </w:t>
      </w:r>
    </w:p>
    <w:p w14:paraId="069519DE" w14:textId="77777777" w:rsidR="00A768F4" w:rsidRPr="00496E39" w:rsidRDefault="00A768F4" w:rsidP="00A768F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cs="Calibri"/>
        </w:rPr>
      </w:pPr>
      <w:r w:rsidRPr="00496E39">
        <w:rPr>
          <w:rFonts w:cs="Calibri"/>
        </w:rPr>
        <w:t>„Dementsprechend sollen junge Erwachsene nicht lernen, sich selbst als ‚Autor:innen‘ ihres Lebens zu begreifen, die zwischen verschiedenen Möglichkeiten wählen können, sondern danach streben, ihre vorgegebenen Rollen zu erfüllen“</w:t>
      </w:r>
      <w:r w:rsidRPr="00496E39">
        <w:rPr>
          <w:rStyle w:val="Funotenzeichen"/>
          <w:rFonts w:cs="Calibri"/>
        </w:rPr>
        <w:footnoteReference w:id="45"/>
      </w:r>
      <w:r>
        <w:rPr>
          <w:rFonts w:cs="Calibri"/>
        </w:rPr>
        <w:t xml:space="preserve"> </w:t>
      </w:r>
      <w:r w:rsidRPr="00496E39">
        <w:rPr>
          <w:rFonts w:cs="Calibri"/>
        </w:rPr>
        <w:fldChar w:fldCharType="begin"/>
      </w:r>
      <w:r w:rsidRPr="00496E39">
        <w:rPr>
          <w:rFonts w:cs="Calibri"/>
        </w:rPr>
        <w:instrText xml:space="preserve"> ADDIN ZOTERO_ITEM CSL_CITATION {"citationID":"a1u2qlp4km","properties":{"formattedCitation":"\\uldash{(Dietrich 2022)}","plainCitation":"(Dietrich 2022)","dontUpdate":true,"noteIndex":0},"citationItems":[{"id":392,"uris":["http://zotero.org/users/14566843/items/RUUV745N"],"itemData":{"id":392,"type":"article-journal","abstract":"ABSTRACT\n            In modern pluralist societies, the meaning and value of individual autonomy is highly contested. Typically, some religious groups deny the ideal of leading a self‐directed life and regard strict obedience to God's commands as the primary goal of child education. This article pursues the question of whether a liberal state may legitimately interfere with parental authority in order to protect the development of a child's inner capacity for autonomy. It is argued that the ability to critically re‐evaluate one's life plan is valuable for the offspring of secular and pious parents alike. Therefore, restrictions on parental rights can be justified within a liberal theoretical framework that is neutral between autonomous and heteronomous conceptions of the good. However, religious parents need not be prepared to call their most important tenets into question; they may foster their children's capacity for critical reflection in other ways. Since the vast majority of religious families meet this requirement, state interventions are rarely warranted.","container-title":"Journal of Applied Philosophy","DOI":"10.1111/japp.12555","ISSN":"0264-3758, 1468-5930","issue":"4","journalAbbreviation":"J Applied Philosophy","language":"en","page":"562-580","source":"DOI.org (Crossref)","title":"Critical Reflection and the Limits of Parental Authority","volume":"39","author":[{"family":"Dietrich","given":"Frank"}],"issued":{"date-parts":[["2022",8]]}}}],"schema":"https://github.com/citation-style-language/schema/raw/master/csl-citation.json"} </w:instrText>
      </w:r>
      <w:r w:rsidRPr="00496E39">
        <w:rPr>
          <w:rFonts w:cs="Calibri"/>
        </w:rPr>
        <w:fldChar w:fldCharType="separate"/>
      </w:r>
      <w:r w:rsidRPr="00496E39">
        <w:rPr>
          <w:rFonts w:cs="Calibri"/>
        </w:rPr>
        <w:t>(Dietrich 2022, 563)</w:t>
      </w:r>
      <w:r w:rsidRPr="00496E39">
        <w:rPr>
          <w:rFonts w:cs="Calibri"/>
        </w:rPr>
        <w:fldChar w:fldCharType="end"/>
      </w:r>
      <w:r w:rsidRPr="00496E39">
        <w:rPr>
          <w:rFonts w:cs="Calibri"/>
        </w:rPr>
        <w:t>.</w:t>
      </w:r>
    </w:p>
    <w:p w14:paraId="210E1F7C" w14:textId="77777777" w:rsidR="00A768F4" w:rsidRPr="00F04985" w:rsidRDefault="00A768F4" w:rsidP="00A768F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cs="Calibri"/>
        </w:rPr>
      </w:pPr>
      <w:r w:rsidRPr="00496E39">
        <w:rPr>
          <w:rFonts w:cs="Calibri"/>
        </w:rPr>
        <w:t xml:space="preserve">Eigene Zweifel oder Unsicherheiten werden so zur Kritik am Glauben und göttlicher Bestimmung selbst erklärt. Diese übermäßige Ausübung von praktischer Autorität steht im Kontrast zu einer moderaten kritischen Religionsausübung, </w:t>
      </w:r>
      <w:r>
        <w:rPr>
          <w:rFonts w:cs="Calibri"/>
        </w:rPr>
        <w:t>die</w:t>
      </w:r>
      <w:r w:rsidRPr="00496E39">
        <w:rPr>
          <w:rFonts w:cs="Calibri"/>
        </w:rPr>
        <w:t xml:space="preserve"> Fragen zulässt und bewusst Diskussionsräume schafft </w:t>
      </w:r>
      <w:r w:rsidRPr="00496E39">
        <w:rPr>
          <w:rFonts w:cs="Calibri"/>
        </w:rPr>
        <w:fldChar w:fldCharType="begin"/>
      </w:r>
      <w:r w:rsidRPr="00496E39">
        <w:rPr>
          <w:rFonts w:cs="Calibri"/>
        </w:rPr>
        <w:instrText xml:space="preserve"> ADDIN ZOTERO_ITEM CSL_CITATION {"citationID":"a1hs2159tdh","properties":{"formattedCitation":"\\uldash{(Kellich 2023)}","plainCitation":"(Kellich 2023)","dontUpdate":true,"noteIndex":0},"citationItems":[{"id":316,"uris":["http://zotero.org/users/14566843/items/6WVAW3AE"],"itemData":{"id":316,"type":"paper-conference","container-title":"Education and New Developments 2023","page":"216-220","title":"Doubt in religious fundamentalism: Education between authority and rational autonomy","volume":"1","author":[{"family":"Kellich","given":"Rahel"}],"issued":{"date-parts":[["2023"]]}}}],"schema":"https://github.com/citation-style-language/schema/raw/master/csl-citation.json"} </w:instrText>
      </w:r>
      <w:r w:rsidRPr="00496E39">
        <w:rPr>
          <w:rFonts w:cs="Calibri"/>
        </w:rPr>
        <w:fldChar w:fldCharType="separate"/>
      </w:r>
      <w:r w:rsidRPr="00496E39">
        <w:rPr>
          <w:rFonts w:cs="Calibri"/>
        </w:rPr>
        <w:t>(Kellich 2023, 218-220)</w:t>
      </w:r>
      <w:r w:rsidRPr="00496E39">
        <w:rPr>
          <w:rFonts w:cs="Calibri"/>
        </w:rPr>
        <w:fldChar w:fldCharType="end"/>
      </w:r>
      <w:r w:rsidRPr="00496E39">
        <w:rPr>
          <w:rFonts w:cs="Calibri"/>
        </w:rPr>
        <w:t>. Autoritätsstrukturen lassen sich in jedem Lebensbereich finden. Eine zu stark ausgeprägte Ausübung von Autorität und universellen Deutungsansprüchen kann jedoch zum Verlust individueller Emanzipationsmomente führen. Auch können antidemokratische und antiliberale Überzeugungen so leichter Zugang zu den Heranwachsenden finden.</w:t>
      </w:r>
      <w:r>
        <w:rPr>
          <w:rFonts w:cs="Calibri"/>
        </w:rPr>
        <w:t xml:space="preserve"> </w:t>
      </w:r>
      <w:r w:rsidRPr="00496E39">
        <w:rPr>
          <w:rFonts w:cs="Calibri"/>
        </w:rPr>
        <w:t xml:space="preserve">Aufgabe von Bildungsinstitutionen muss an dieser Stelle sein, genau dieses (autoritäts-)kritische Denken und den Umgang mit Ungewissheiten zu fördern. </w:t>
      </w:r>
      <w:r>
        <w:rPr>
          <w:rFonts w:cs="Calibri"/>
        </w:rPr>
        <w:t>In dem Maße wie</w:t>
      </w:r>
      <w:r w:rsidRPr="00496E39">
        <w:rPr>
          <w:rFonts w:cs="Calibri"/>
        </w:rPr>
        <w:t xml:space="preserve"> eine kritische Auseinandersetzung mit Autorität notwendig </w:t>
      </w:r>
      <w:r>
        <w:rPr>
          <w:rFonts w:cs="Calibri"/>
        </w:rPr>
        <w:t>ist</w:t>
      </w:r>
      <w:r w:rsidRPr="00496E39">
        <w:rPr>
          <w:rFonts w:cs="Calibri"/>
        </w:rPr>
        <w:t xml:space="preserve">, ist </w:t>
      </w:r>
      <w:r>
        <w:rPr>
          <w:rFonts w:cs="Calibri"/>
        </w:rPr>
        <w:t xml:space="preserve">auch </w:t>
      </w:r>
      <w:r w:rsidRPr="00496E39">
        <w:rPr>
          <w:rFonts w:cs="Calibri"/>
        </w:rPr>
        <w:t>die damit verknüpfte Förderung von Autonomie</w:t>
      </w:r>
      <w:r>
        <w:rPr>
          <w:rFonts w:cs="Calibri"/>
        </w:rPr>
        <w:t xml:space="preserve"> notwendig</w:t>
      </w:r>
      <w:r w:rsidRPr="00496E39">
        <w:rPr>
          <w:rFonts w:cs="Calibri"/>
        </w:rPr>
        <w:t xml:space="preserve">, </w:t>
      </w:r>
      <w:r>
        <w:rPr>
          <w:rFonts w:cs="Calibri"/>
        </w:rPr>
        <w:t>die</w:t>
      </w:r>
      <w:r w:rsidRPr="00496E39">
        <w:rPr>
          <w:rFonts w:cs="Calibri"/>
        </w:rPr>
        <w:t xml:space="preserve"> im nächsten Absatz besprochen wird.</w:t>
      </w:r>
    </w:p>
    <w:p w14:paraId="35DA969D" w14:textId="77777777" w:rsidR="00A768F4" w:rsidRPr="00CF14DD" w:rsidRDefault="00A768F4" w:rsidP="00DA6E88">
      <w:pPr>
        <w:pStyle w:val="berschrift2"/>
        <w:numPr>
          <w:ilvl w:val="0"/>
          <w:numId w:val="0"/>
        </w:numPr>
        <w:spacing w:after="160"/>
        <w:ind w:left="576" w:hanging="576"/>
        <w:rPr>
          <w:rFonts w:asciiTheme="minorHAnsi" w:hAnsiTheme="minorHAnsi" w:cstheme="minorHAnsi"/>
          <w:color w:val="016D72"/>
          <w:sz w:val="26"/>
          <w:szCs w:val="26"/>
        </w:rPr>
      </w:pPr>
      <w:bookmarkStart w:id="94" w:name="_Toc215819951"/>
      <w:r w:rsidRPr="00CF14DD">
        <w:rPr>
          <w:rFonts w:asciiTheme="minorHAnsi" w:hAnsiTheme="minorHAnsi" w:cstheme="minorHAnsi"/>
          <w:color w:val="016D72"/>
          <w:sz w:val="26"/>
          <w:szCs w:val="26"/>
        </w:rPr>
        <w:t xml:space="preserve">6.3. </w:t>
      </w:r>
      <w:proofErr w:type="gramStart"/>
      <w:r w:rsidRPr="00CF14DD">
        <w:rPr>
          <w:rFonts w:asciiTheme="minorHAnsi" w:hAnsiTheme="minorHAnsi" w:cstheme="minorHAnsi"/>
          <w:color w:val="016D72"/>
          <w:sz w:val="26"/>
          <w:szCs w:val="26"/>
        </w:rPr>
        <w:t>Episch</w:t>
      </w:r>
      <w:proofErr w:type="gramEnd"/>
      <w:r w:rsidRPr="00CF14DD">
        <w:rPr>
          <w:rFonts w:asciiTheme="minorHAnsi" w:hAnsiTheme="minorHAnsi" w:cstheme="minorHAnsi"/>
          <w:color w:val="016D72"/>
          <w:sz w:val="26"/>
          <w:szCs w:val="26"/>
        </w:rPr>
        <w:t>: Geschlossene Glaubensnarrative im Spannungsverhältnis zur Autonomieentwicklung</w:t>
      </w:r>
      <w:bookmarkEnd w:id="94"/>
    </w:p>
    <w:p w14:paraId="1DD0D237" w14:textId="77777777" w:rsidR="00A768F4" w:rsidRPr="00496E39" w:rsidRDefault="00A768F4" w:rsidP="00A768F4">
      <w:r w:rsidRPr="00496E39">
        <w:rPr>
          <w:rFonts w:cs="Calibri"/>
        </w:rPr>
        <w:t>Durch eine allumfassende Glaubenserzählung und die damit verbundene starke Abgrenzung nach außen (</w:t>
      </w:r>
      <w:r w:rsidRPr="00A64ABC">
        <w:rPr>
          <w:rFonts w:cs="Calibri"/>
          <w:i/>
          <w:iCs/>
        </w:rPr>
        <w:t>othering</w:t>
      </w:r>
      <w:r w:rsidRPr="00496E39">
        <w:rPr>
          <w:rFonts w:cs="Calibri"/>
        </w:rPr>
        <w:t>), die einerseits das Gemeinschaftsgefühl in fundamentalistischen Gemeinschaften stärkt (Peels und Kindermann 2024, 500) und Sicherheit suggeriert, wird zugleich der Austausch zwischen unterschiedlichen Weltsichten eingeschränkt.</w:t>
      </w:r>
    </w:p>
    <w:p w14:paraId="6F1D3EE6" w14:textId="77777777" w:rsidR="00A768F4" w:rsidRPr="00496E39" w:rsidRDefault="00A768F4" w:rsidP="00A768F4">
      <w:pPr>
        <w:tabs>
          <w:tab w:val="left" w:pos="5217"/>
        </w:tabs>
        <w:spacing w:line="276" w:lineRule="auto"/>
        <w:jc w:val="both"/>
        <w:rPr>
          <w:rFonts w:cs="Calibri"/>
        </w:rPr>
      </w:pPr>
      <w:r w:rsidRPr="00496E39">
        <w:rPr>
          <w:rFonts w:cs="Calibri"/>
        </w:rPr>
        <w:t>Ein pädagogischer Fokus sollte gerade dort liegen, wo geschlossene Überzeugungssysteme den Zugang zu pluralem Denken einschränken. Hier gilt es, zentrale Bildungsziele</w:t>
      </w:r>
      <w:r>
        <w:rPr>
          <w:rFonts w:cs="Calibri"/>
        </w:rPr>
        <w:t>,</w:t>
      </w:r>
      <w:r w:rsidRPr="00496E39">
        <w:rPr>
          <w:rFonts w:cs="Calibri"/>
        </w:rPr>
        <w:t xml:space="preserve"> wie </w:t>
      </w:r>
      <w:r w:rsidRPr="00496E39">
        <w:rPr>
          <w:rFonts w:cs="Calibri"/>
          <w:i/>
          <w:iCs/>
          <w:color w:val="000000" w:themeColor="text1"/>
        </w:rPr>
        <w:t>open mindedness</w:t>
      </w:r>
      <w:r w:rsidRPr="00496E39">
        <w:rPr>
          <w:rFonts w:cs="Calibri"/>
        </w:rPr>
        <w:t xml:space="preserve">, also die Bereitschaft, sich mit unterschiedlichen Lebensentwürfen, Perspektiven und Deutungen der Welt auseinanderzusetzen, zu fördern. Diese Offenheit ist nicht nur Ausdruck einer dialogfähigen Haltung, sondern auch eine Voraussetzung für die Entwicklung von Autonomie und damit für die Befähigung zur eigenständigen Urteilsbildung innerhalb demokratischer Gesellschaften </w:t>
      </w:r>
      <w:r w:rsidRPr="00496E39">
        <w:rPr>
          <w:rFonts w:cs="Calibri"/>
        </w:rPr>
        <w:fldChar w:fldCharType="begin"/>
      </w:r>
      <w:r w:rsidRPr="00496E39">
        <w:rPr>
          <w:rFonts w:cs="Calibri"/>
        </w:rPr>
        <w:instrText xml:space="preserve"> ADDIN ZOTERO_ITEM CSL_CITATION {"citationID":"a1io2vbp9hu","properties":{"formattedCitation":"\\uldash{(Taylor 2017)}","plainCitation":"(Taylor 2017)","dontUpdate":true,"noteIndex":0},"citationItems":[{"id":388,"uris":["http://zotero.org/users/14566843/items/YBMAQKU4"],"itemData":{"id":388,"type":"article-journal","container-title":"Educational Philosophy and Theory","DOI":"10.1080/00131857.2017.1278673","ISSN":"0013-1857, 1469-5812","issue":"14","journalAbbreviation":"Educational Philosophy and Theory","language":"en","page":"1326-1337","source":"DOI.org (Crossref)","title":"Education for autonomy and open-mindedness in diverse societies","volume":"49","author":[{"family":"Taylor","given":"Rebecca M."}],"issued":{"date-parts":[["2017",12,6]]}}}],"schema":"https://github.com/citation-style-language/schema/raw/master/csl-citation.json"} </w:instrText>
      </w:r>
      <w:r w:rsidRPr="00496E39">
        <w:rPr>
          <w:rFonts w:cs="Calibri"/>
        </w:rPr>
        <w:fldChar w:fldCharType="separate"/>
      </w:r>
      <w:r w:rsidRPr="00496E39">
        <w:rPr>
          <w:rFonts w:cs="Calibri"/>
        </w:rPr>
        <w:t>(Taylor 2017, 1326-1328)</w:t>
      </w:r>
      <w:r w:rsidRPr="00496E39">
        <w:rPr>
          <w:rFonts w:cs="Calibri"/>
        </w:rPr>
        <w:fldChar w:fldCharType="end"/>
      </w:r>
      <w:r w:rsidRPr="00496E39">
        <w:rPr>
          <w:rFonts w:cs="Calibri"/>
        </w:rPr>
        <w:t xml:space="preserve">. </w:t>
      </w:r>
    </w:p>
    <w:p w14:paraId="5003033A" w14:textId="77777777" w:rsidR="00A768F4" w:rsidRPr="00496E39" w:rsidRDefault="00A768F4" w:rsidP="00A768F4">
      <w:pPr>
        <w:tabs>
          <w:tab w:val="left" w:pos="5217"/>
        </w:tabs>
        <w:spacing w:line="276" w:lineRule="auto"/>
        <w:ind w:left="720"/>
        <w:jc w:val="both"/>
        <w:rPr>
          <w:b/>
        </w:rPr>
      </w:pPr>
      <w:r w:rsidRPr="00496E39">
        <w:rPr>
          <w:rFonts w:cs="Calibri"/>
        </w:rPr>
        <w:t xml:space="preserve">Denn nach Jason Baehr </w:t>
      </w:r>
      <w:r w:rsidRPr="00496E39">
        <w:rPr>
          <w:rFonts w:cs="Calibri"/>
        </w:rPr>
        <w:fldChar w:fldCharType="begin"/>
      </w:r>
      <w:r w:rsidRPr="00496E39">
        <w:rPr>
          <w:rFonts w:cs="Calibri"/>
        </w:rPr>
        <w:instrText xml:space="preserve"> ADDIN ZOTERO_ITEM CSL_CITATION {"citationID":"a1t4o7s5vu4","properties":{"formattedCitation":"\\uldash{(Baehr 2011)}","plainCitation":"(Baehr 2011)","dontUpdate":true,"noteIndex":0},"citationItems":[{"id":387,"uris":["http://zotero.org/users/14566843/items/A8KC8KSB"],"itemData":{"id":387,"type":"book","ISBN":"978-0-19-960407-4","note":"DOI: 10.1093/acprof:oso/9780199604074.001.0001\nDOI: 10.1093/acprof:oso/9780199604074.001.0001","publisher":"Oxford University Press","source":"DOI.org (Crossref)","title":"The Inquiring Mind","URL":"https://academic.oup.com/book/11569","author":[{"family":"Baehr","given":"Jason"}],"accessed":{"date-parts":[["2025",11,11]]},"issued":{"date-parts":[["2011",6,30]]}}}],"schema":"https://github.com/citation-style-language/schema/raw/master/csl-citation.json"} </w:instrText>
      </w:r>
      <w:r w:rsidRPr="00496E39">
        <w:rPr>
          <w:rFonts w:cs="Calibri"/>
        </w:rPr>
        <w:fldChar w:fldCharType="separate"/>
      </w:r>
      <w:r w:rsidRPr="00496E39">
        <w:rPr>
          <w:rFonts w:cs="Calibri"/>
        </w:rPr>
        <w:t>(2011, 152)</w:t>
      </w:r>
      <w:r w:rsidRPr="00496E39">
        <w:rPr>
          <w:rFonts w:cs="Calibri"/>
        </w:rPr>
        <w:fldChar w:fldCharType="end"/>
      </w:r>
      <w:r w:rsidRPr="00496E39">
        <w:rPr>
          <w:rFonts w:cs="Calibri"/>
        </w:rPr>
        <w:t xml:space="preserve"> ist eine Person mit diesen Eigenschaften: „[…] (a) typischerweise bereit und (in gewissen Grenzen) fähig, (b) ihren gewohnten kognitiven </w:t>
      </w:r>
      <w:r w:rsidRPr="00496E39">
        <w:rPr>
          <w:rFonts w:cs="Calibri"/>
        </w:rPr>
        <w:lastRenderedPageBreak/>
        <w:t>Standpunkt zu überschreiten, (c) um die Vorzüge (d) eines anderen kognitiven Standpunkts einzunehmen oder ernsthaft zu erwägen.“</w:t>
      </w:r>
      <w:r w:rsidRPr="00496E39">
        <w:rPr>
          <w:rStyle w:val="Funotenzeichen"/>
          <w:rFonts w:cs="Calibri"/>
        </w:rPr>
        <w:footnoteReference w:id="46"/>
      </w:r>
    </w:p>
    <w:p w14:paraId="1E9FA3B6" w14:textId="77777777" w:rsidR="00A768F4" w:rsidRDefault="00A768F4" w:rsidP="00A768F4">
      <w:pPr>
        <w:tabs>
          <w:tab w:val="left" w:pos="5217"/>
        </w:tabs>
        <w:spacing w:line="276" w:lineRule="auto"/>
        <w:jc w:val="both"/>
        <w:rPr>
          <w:rFonts w:cs="Calibri"/>
        </w:rPr>
      </w:pPr>
      <w:r w:rsidRPr="00496E39">
        <w:rPr>
          <w:rFonts w:cs="Calibri"/>
        </w:rPr>
        <w:t>In Deutschland besteht</w:t>
      </w:r>
      <w:r>
        <w:rPr>
          <w:rFonts w:cs="Calibri"/>
        </w:rPr>
        <w:t>,</w:t>
      </w:r>
      <w:r w:rsidRPr="00496E39">
        <w:rPr>
          <w:rFonts w:cs="Calibri"/>
        </w:rPr>
        <w:t xml:space="preserve"> in Abgrenzung zu der Situation in den USA</w:t>
      </w:r>
      <w:r>
        <w:rPr>
          <w:rFonts w:cs="Calibri"/>
        </w:rPr>
        <w:t>,</w:t>
      </w:r>
      <w:r w:rsidRPr="00496E39">
        <w:rPr>
          <w:rFonts w:cs="Calibri"/>
        </w:rPr>
        <w:t xml:space="preserve"> gerade wegen der Schulpflicht die Möglichkeit, diesen Austausch mit anderen Lebensentwürfen und Moralvorstellungen institutionell zu fördern. Bildung muss Räume eröffnen, in denen Zweifel und Ungewissheiten nicht als Defizite per se, sondern als Ausgangspunkt von Erkenntnisprozessen verstanden werden. Es sind gerade jene irritierenden Momente, wie das Infragestellen vermeintlicher Gewissheiten oder das Verständnis alternativer Sichtweisen, </w:t>
      </w:r>
      <w:r>
        <w:rPr>
          <w:rFonts w:cs="Calibri"/>
        </w:rPr>
        <w:t>die</w:t>
      </w:r>
      <w:r w:rsidRPr="00496E39">
        <w:rPr>
          <w:rFonts w:cs="Calibri"/>
        </w:rPr>
        <w:t xml:space="preserve"> kritische Bildungsprozesse anstoßen oder ein Spannungsverhältnis zwischen Autonomiewillen und dem Gehorsam </w:t>
      </w:r>
      <w:r>
        <w:rPr>
          <w:rFonts w:cs="Calibri"/>
        </w:rPr>
        <w:t>gegenüber</w:t>
      </w:r>
      <w:r w:rsidRPr="00496E39">
        <w:rPr>
          <w:rFonts w:cs="Calibri"/>
        </w:rPr>
        <w:t xml:space="preserve"> Autoritäts</w:t>
      </w:r>
      <w:r>
        <w:rPr>
          <w:rFonts w:cs="Calibri"/>
        </w:rPr>
        <w:t>personen</w:t>
      </w:r>
      <w:r w:rsidRPr="00496E39">
        <w:rPr>
          <w:rFonts w:cs="Calibri"/>
        </w:rPr>
        <w:t xml:space="preserve"> aufbauen. Bildungsprozesse, die diesen inneren Konflikt nicht unterdrücken, sondern reflektierend begleiten, tragen wesentlich zur Persönlichkeitsbildung bei. Ziel dabei sollte es sein, zur kritischen Auseinandersetzung mit Machtverhältnissen, </w:t>
      </w:r>
      <w:r w:rsidRPr="00496E39">
        <w:rPr>
          <w:rFonts w:cs="Calibri"/>
          <w:color w:val="000000" w:themeColor="text1"/>
        </w:rPr>
        <w:t>Autoritäten</w:t>
      </w:r>
      <w:r w:rsidRPr="00496E39">
        <w:rPr>
          <w:rFonts w:cs="Calibri"/>
        </w:rPr>
        <w:t xml:space="preserve"> oder epistemologischen Wahrheiten zu befähigen, nicht durch Abwertung, sondern in (Selbst</w:t>
      </w:r>
      <w:r>
        <w:rPr>
          <w:rFonts w:cs="Calibri"/>
        </w:rPr>
        <w:t>-</w:t>
      </w:r>
      <w:r w:rsidRPr="00496E39">
        <w:rPr>
          <w:rFonts w:cs="Calibri"/>
        </w:rPr>
        <w:t>)Reflexion. Eigenes Handeln soll so im Sinne eines „Prozess</w:t>
      </w:r>
      <w:r>
        <w:rPr>
          <w:rFonts w:cs="Calibri"/>
        </w:rPr>
        <w:t>[es]</w:t>
      </w:r>
      <w:r w:rsidRPr="00496E39">
        <w:rPr>
          <w:rFonts w:cs="Calibri"/>
        </w:rPr>
        <w:t xml:space="preserve"> der Mentalisierung“ analysiert und bewertet werden </w:t>
      </w:r>
      <w:r w:rsidRPr="00496E39">
        <w:rPr>
          <w:rFonts w:cs="Calibri"/>
        </w:rPr>
        <w:fldChar w:fldCharType="begin"/>
      </w:r>
      <w:r w:rsidRPr="00496E39">
        <w:rPr>
          <w:rFonts w:cs="Calibri"/>
        </w:rPr>
        <w:instrText xml:space="preserve"> ADDIN ZOTERO_ITEM CSL_CITATION {"citationID":"afpsbd88ar","properties":{"formattedCitation":"\\uldash{(Bauer 2023)}","plainCitation":"(Bauer 2023)","dontUpdate":true,"noteIndex":0},"citationItems":[{"id":423,"uris":["http://zotero.org/users/14566843/items/XBXNL8VR"],"itemData":{"id":423,"type":"book","abstract":"Funktioniert das Soziale ohne Sozialisation? Die frühen Ansätze der Sozialisationsforschung betonen, dass Menschen erst sozial werden und nicht einfach sind. Historisch gesehen ist dies ein Bruch mit dominierenden Vorstellungen vom menschlichen Wesen in Theologie und Philosophie. Doch die sich emanzipierende Wissenschaft hat es schwer. In nur einem Jahrhundert erlebt das Denken über Sozialisation alle Höhen und Tiefen. Es verwissenschaftlicht den Menschen, wehrt sich aber auch gegen Positivismus, sozialen und biologischen Determinismus. Sozialisation ist Kontroverse – noch immer","edition":"1. Auflage","event-place":"Weinheim","ISBN":"978-3-7799-6814-6","language":"ger","number-of-pages":"1","publisher":"Juventa Verlag","publisher-place":"Weinheim","source":"K10plus ISBN","title":"Sozialisation in der Kontroverse","author":[{"family":"Bauer","given":"Ullrich"}],"issued":{"date-parts":[["2023"]]}}}],"schema":"https://github.com/citation-style-language/schema/raw/master/csl-citation.json"} </w:instrText>
      </w:r>
      <w:r w:rsidRPr="00496E39">
        <w:rPr>
          <w:rFonts w:cs="Calibri"/>
        </w:rPr>
        <w:fldChar w:fldCharType="separate"/>
      </w:r>
      <w:r w:rsidRPr="00496E39">
        <w:rPr>
          <w:rFonts w:cs="Calibri"/>
        </w:rPr>
        <w:t>(Bauer 2023, 140)</w:t>
      </w:r>
      <w:r w:rsidRPr="00496E39">
        <w:rPr>
          <w:rFonts w:cs="Calibri"/>
        </w:rPr>
        <w:fldChar w:fldCharType="end"/>
      </w:r>
      <w:r w:rsidRPr="00496E39">
        <w:rPr>
          <w:rFonts w:cs="Calibri"/>
        </w:rPr>
        <w:t xml:space="preserve">. Auch der Moment des </w:t>
      </w:r>
      <w:r w:rsidRPr="00496E39">
        <w:rPr>
          <w:rFonts w:cs="Calibri"/>
          <w:i/>
          <w:iCs/>
        </w:rPr>
        <w:t>Wunderns</w:t>
      </w:r>
      <w:r w:rsidRPr="00496E39">
        <w:rPr>
          <w:rFonts w:cs="Calibri"/>
        </w:rPr>
        <w:t xml:space="preserve"> kann eine zentrale Bildungsressource darstellen </w:t>
      </w:r>
      <w:r w:rsidRPr="00496E39">
        <w:rPr>
          <w:rFonts w:cs="Calibri"/>
        </w:rPr>
        <w:fldChar w:fldCharType="begin"/>
      </w:r>
      <w:r w:rsidRPr="00496E39">
        <w:rPr>
          <w:rFonts w:cs="Calibri"/>
        </w:rPr>
        <w:instrText xml:space="preserve"> ADDIN ZOTERO_ITEM CSL_CITATION {"citationID":"a7aaclrnkr","properties":{"formattedCitation":"(Sch\\uc0\\u246{}nert 2023)","plainCitation":"(Schönert 2023)","dontUpdate":true,"noteIndex":0},"citationItems":[{"id":330,"uris":["http://zotero.org/users/14566843/items/DEFWIUVQ"],"itemData":{"id":330,"type":"paper-conference","container-title":"nternational Conference on Education and New Developments END","page":"8-12","title":"WONDERING AND GRADING IN HIGHER EDUCATION – A TENSION RATIO?","volume":"2","author":[{"family":"Schönert","given":"Marilen"}],"issued":{"date-parts":[["2023"]]}}}],"schema":"https://github.com/citation-style-language/schema/raw/master/csl-citation.json"} </w:instrText>
      </w:r>
      <w:r w:rsidRPr="00496E39">
        <w:rPr>
          <w:rFonts w:cs="Calibri"/>
        </w:rPr>
        <w:fldChar w:fldCharType="separate"/>
      </w:r>
      <w:r w:rsidRPr="00496E39">
        <w:rPr>
          <w:rFonts w:cs="Calibri"/>
        </w:rPr>
        <w:t>(Schönert 2023, 8-9)</w:t>
      </w:r>
      <w:r w:rsidRPr="00496E39">
        <w:rPr>
          <w:rFonts w:cs="Calibri"/>
        </w:rPr>
        <w:fldChar w:fldCharType="end"/>
      </w:r>
      <w:r w:rsidRPr="00496E39">
        <w:rPr>
          <w:rFonts w:cs="Calibri"/>
        </w:rPr>
        <w:t xml:space="preserve">. Wer sich wundert, entwickelt das Bedürfnis, Zusammenhänge intrinsisch zu verstehen, sei es im Blick auf gesellschaftliche Entwicklungen oder auf existentielle und vielleicht polarisierende Fragen. Wundern kann somit als Ausgangspunkt für eine offene, nicht-dogmatische Weltaneignung verstanden werden. </w:t>
      </w:r>
    </w:p>
    <w:p w14:paraId="6D583636" w14:textId="77777777" w:rsidR="00A768F4" w:rsidRPr="00496E39" w:rsidRDefault="00A768F4" w:rsidP="00A768F4">
      <w:pPr>
        <w:tabs>
          <w:tab w:val="left" w:pos="5217"/>
        </w:tabs>
        <w:spacing w:line="276" w:lineRule="auto"/>
        <w:jc w:val="both"/>
        <w:rPr>
          <w:rFonts w:cs="Calibri"/>
          <w:b/>
          <w:bCs/>
        </w:rPr>
      </w:pPr>
      <w:r>
        <w:rPr>
          <w:rFonts w:cs="Calibri"/>
        </w:rPr>
        <w:t>P</w:t>
      </w:r>
      <w:r w:rsidRPr="00496E39">
        <w:rPr>
          <w:rFonts w:cs="Calibri"/>
        </w:rPr>
        <w:t xml:space="preserve">ädagogische Maßnahmen </w:t>
      </w:r>
      <w:r>
        <w:rPr>
          <w:rFonts w:cs="Calibri"/>
        </w:rPr>
        <w:t xml:space="preserve">sollten </w:t>
      </w:r>
      <w:r w:rsidRPr="00496E39">
        <w:rPr>
          <w:rFonts w:cs="Calibri"/>
        </w:rPr>
        <w:t xml:space="preserve">nicht durch bloße Belehrung, sondern durch Ermutigung zum Fragen und Infragestellen wirken. Junge Menschen sollten darin unterstützt werden, Regeln zu hinterfragen, gegebenenfalls deren Sinn und Legitimation zu erkennen oder zu kritisieren </w:t>
      </w:r>
      <w:r w:rsidRPr="00496E39">
        <w:rPr>
          <w:rFonts w:cs="Calibri"/>
        </w:rPr>
        <w:fldChar w:fldCharType="begin"/>
      </w:r>
      <w:r w:rsidRPr="00496E39">
        <w:rPr>
          <w:rFonts w:cs="Calibri"/>
        </w:rPr>
        <w:instrText xml:space="preserve"> ADDIN ZOTERO_ITEM CSL_CITATION {"citationID":"a11peinhlu6","properties":{"formattedCitation":"(Giesinger 2018)","plainCitation":"(Giesinger 2018)","dontUpdate":true,"noteIndex":0},"citationItems":[{"id":329,"uris":["http://zotero.org/users/14566843/items/C74Y652K"],"itemData":{"id":329,"type":"article-journal","container-title":"Pädagogische Rundschau","issue":"4","page":"609-620","title":"Pflicht zum Gehorsam? Legitime Autorität in der Schule.","volume":"72","author":[{"family":"Giesinger","given":"Johannes"}],"issued":{"date-parts":[["2018"]]}}}],"schema":"https://github.com/citation-style-language/schema/raw/master/csl-citation.json"} </w:instrText>
      </w:r>
      <w:r w:rsidRPr="00496E39">
        <w:rPr>
          <w:rFonts w:cs="Calibri"/>
        </w:rPr>
        <w:fldChar w:fldCharType="separate"/>
      </w:r>
      <w:r w:rsidRPr="00496E39">
        <w:rPr>
          <w:rFonts w:cs="Calibri"/>
        </w:rPr>
        <w:t>(Giesinger 2018, 610)</w:t>
      </w:r>
      <w:r w:rsidRPr="00496E39">
        <w:rPr>
          <w:rFonts w:cs="Calibri"/>
        </w:rPr>
        <w:fldChar w:fldCharType="end"/>
      </w:r>
      <w:r w:rsidRPr="00496E39">
        <w:rPr>
          <w:rFonts w:cs="Calibri"/>
        </w:rPr>
        <w:t>. Diese Fähigkeit zur Reflexion und objektiver Distanz bildet zugleich die Grundlage für Selbstbestimmung, die ohne entsprechende kognitive, moralische und soziale Kompetenzen nicht zu realisieren ist. In diesem Sinne betonen Klaus Hurrelmann und Ullrich Bauer, dass „[…] Bildung die Selbstbestimmung [fördert], denn diese setzt den</w:t>
      </w:r>
      <w:r w:rsidRPr="00817907">
        <w:rPr>
          <w:rFonts w:cs="Calibri"/>
        </w:rPr>
        <w:t xml:space="preserve"> </w:t>
      </w:r>
      <w:r w:rsidRPr="00496E39">
        <w:rPr>
          <w:rFonts w:cs="Calibri"/>
        </w:rPr>
        <w:t xml:space="preserve">Aufbau von Fähigkeiten der Selbststeuerung voraus […]“ </w:t>
      </w:r>
      <w:r w:rsidRPr="00496E39">
        <w:rPr>
          <w:rFonts w:cs="Calibri"/>
          <w:b/>
          <w:bCs/>
        </w:rPr>
        <w:fldChar w:fldCharType="begin"/>
      </w:r>
      <w:r w:rsidRPr="00496E39">
        <w:rPr>
          <w:rFonts w:cs="Calibri"/>
          <w:b/>
          <w:bCs/>
        </w:rPr>
        <w:instrText xml:space="preserve"> ADDIN ZOTERO_ITEM CSL_CITATION {"citationID":"a1mb2q1ha0b","properties":{"formattedCitation":"\\uldash{(Hurrelmann und Bauer 2015)}","plainCitation":"(Hurrelmann und Bauer 2015)","dontUpdate":true,"noteIndex":0},"citationItems":[{"id":422,"uris":["http://zotero.org/users/14566843/items/T2S4LV6P"],"itemData":{"id":422,"type":"book","abstract":"Diese Einführung behandelt die zentralen psychologischen und soziologischen Theorien der Sozialisation. Neben Definitionen und Konzepten berichten die Autoren über zentrale Instanzen der Sozialisation in Familie, im soziokulturellen Umfeld sowie im Erziehungs- und Bildungssystem. Die inzwischen 11. Auflage vermittelt einen geschlossenen Überblick, der auch die jüngsten Ansätze und Forschungsergebnisse berücksichtigt","edition":"11. Auflage","event-place":"Weinheim","ISBN":"978-3-407-29433-3","language":"ger","number-of-pages":"1","publisher":"Beltz","publisher-place":"Weinheim","source":"K10plus ISBN","title":"Einführung in die Sozialisationstheorie: Das Modell der produktiven Realitätsverarbeitung","title-short":"Einführung in die Sozialisationstheorie","author":[{"family":"Hurrelmann","given":"Klaus"},{"family":"Bauer","given":"Ullrich"}],"issued":{"date-parts":[["2015"]]}}}],"schema":"https://github.com/citation-style-language/schema/raw/master/csl-citation.json"} </w:instrText>
      </w:r>
      <w:r w:rsidRPr="00496E39">
        <w:rPr>
          <w:rFonts w:cs="Calibri"/>
          <w:b/>
          <w:bCs/>
        </w:rPr>
        <w:fldChar w:fldCharType="separate"/>
      </w:r>
      <w:r w:rsidRPr="00496E39">
        <w:rPr>
          <w:rFonts w:cs="Calibri"/>
        </w:rPr>
        <w:t>(Hurrelmann und Bauer 2015, 177)</w:t>
      </w:r>
      <w:r w:rsidRPr="00496E39">
        <w:rPr>
          <w:rFonts w:cs="Calibri"/>
          <w:b/>
          <w:bCs/>
        </w:rPr>
        <w:fldChar w:fldCharType="end"/>
      </w:r>
      <w:r w:rsidRPr="00496E39">
        <w:rPr>
          <w:rFonts w:cs="Calibri"/>
          <w:b/>
          <w:bCs/>
        </w:rPr>
        <w:t>.</w:t>
      </w:r>
      <w:r w:rsidRPr="00496E39">
        <w:rPr>
          <w:rFonts w:cs="Calibri"/>
        </w:rPr>
        <w:t xml:space="preserve"> Bildung kann so nicht zuletzt eine Schutzfunktion übernehmen: Sie kann dazu befähigen, zwischen Information und Desinformation zu unterscheiden, Orientierung in einer komplexen Welt fördern und so zur demokratischen Mündigkeit beitragen </w:t>
      </w:r>
      <w:r w:rsidRPr="00496E39">
        <w:rPr>
          <w:rFonts w:cs="Calibri"/>
        </w:rPr>
        <w:fldChar w:fldCharType="begin"/>
      </w:r>
      <w:r w:rsidRPr="00496E39">
        <w:rPr>
          <w:rFonts w:cs="Calibri"/>
        </w:rPr>
        <w:instrText xml:space="preserve"> ADDIN ZOTERO_ITEM CSL_CITATION {"citationID":"a1d79skk67n","properties":{"formattedCitation":"\\uldash{(Brighouse u.\\uc0\\u160{}a. 2016)}","plainCitation":"(Brighouse u. a. 2016)","dontUpdate":true,"noteIndex":0},"citationItems":[{"id":331,"uris":["http://zotero.org/users/14566843/items/SQBX3QMI"],"itemData":{"id":331,"type":"article-journal","abstract":"This article articulates a framework suitable for use when making decisions about education policy. Decision makers should establish what the feasible options are and evaluate them in terms of their contribution to the development, and distribution, of educational goods in children, balanced against the negative effect of policies on important independent values. The article articulates a theory of educational goods by reference to six capacities that children should develop – economic productivity, autonomy, democratic competence, healthy personal relationships, treating others as equals, and personal fulfillment. It demarcates three distributive values – adequacy, equality, and benefitting the less advantaged. And it distinguishes several independent values – childhood goods, parents’ interests, respect for democratic processes, and freedom of residence and occupation.","container-title":"Theory and Research in Education","DOI":"10.1177/1477878515620887","ISSN":"1477-8785, 1741-3192","issue":"1","journalAbbreviation":"Theory and Research in Education","language":"en","page":"3-25","source":"DOI.org (Crossref)","title":"Educational goods and values: A framework for decision makers","title-short":"Educational goods and values","volume":"14","author":[{"family":"Brighouse","given":"Harry"},{"family":"Ladd","given":"Helen F."},{"family":"Loeb","given":"Susanna"},{"family":"Swift","given":"Adam"}],"issued":{"date-parts":[["2016",3]]}}}],"schema":"https://github.com/citation-style-language/schema/raw/master/csl-citation.json"} </w:instrText>
      </w:r>
      <w:r w:rsidRPr="00496E39">
        <w:rPr>
          <w:rFonts w:cs="Calibri"/>
        </w:rPr>
        <w:fldChar w:fldCharType="separate"/>
      </w:r>
      <w:r w:rsidRPr="00496E39">
        <w:rPr>
          <w:rFonts w:cs="Calibri"/>
        </w:rPr>
        <w:t>(Brighouse et al. 2016, 16-17)</w:t>
      </w:r>
      <w:r w:rsidRPr="00496E39">
        <w:rPr>
          <w:rFonts w:cs="Calibri"/>
        </w:rPr>
        <w:fldChar w:fldCharType="end"/>
      </w:r>
      <w:r w:rsidRPr="00496E39">
        <w:rPr>
          <w:rFonts w:cs="Calibri"/>
        </w:rPr>
        <w:t xml:space="preserve">. </w:t>
      </w:r>
    </w:p>
    <w:p w14:paraId="6C249F30" w14:textId="77777777" w:rsidR="00A768F4" w:rsidRPr="00496E39" w:rsidRDefault="00A768F4" w:rsidP="00A768F4">
      <w:pPr>
        <w:tabs>
          <w:tab w:val="left" w:pos="5217"/>
        </w:tabs>
        <w:spacing w:line="276" w:lineRule="auto"/>
        <w:jc w:val="both"/>
        <w:rPr>
          <w:rFonts w:cs="Calibri"/>
        </w:rPr>
      </w:pPr>
      <w:r w:rsidRPr="00496E39">
        <w:rPr>
          <w:rFonts w:cs="Calibri"/>
        </w:rPr>
        <w:t>Der pädagogische Umgang mit Jugendlichen aus christlich-fundamentalistischen Gemeinschaften steht bislang kaum im Zentrum der Debatten über religiösen Fundamentalismus oder Extremismus. Gründe dafür liegen zum einen in der geringen Gefahr</w:t>
      </w:r>
      <w:r>
        <w:rPr>
          <w:rFonts w:cs="Calibri"/>
        </w:rPr>
        <w:t>en</w:t>
      </w:r>
      <w:r w:rsidRPr="00496E39">
        <w:rPr>
          <w:rFonts w:cs="Calibri"/>
        </w:rPr>
        <w:t>einschätzung und der mangelnden Kenntnis des Themenfelds, zum anderen in der verhaltensbezogenen Unauffälligkeit vieler Kinder und Jugendlicher aus diesen Communit</w:t>
      </w:r>
      <w:r>
        <w:rPr>
          <w:rFonts w:cs="Calibri"/>
        </w:rPr>
        <w:t>y</w:t>
      </w:r>
      <w:r w:rsidRPr="00496E39">
        <w:rPr>
          <w:rFonts w:cs="Calibri"/>
        </w:rPr>
        <w:t>s. Letztere verwundert i</w:t>
      </w:r>
      <w:r>
        <w:rPr>
          <w:rFonts w:cs="Calibri"/>
        </w:rPr>
        <w:t>n</w:t>
      </w:r>
      <w:r w:rsidRPr="00496E39">
        <w:rPr>
          <w:rFonts w:cs="Calibri"/>
        </w:rPr>
        <w:t xml:space="preserve"> Anbetracht eben dieser autoritätshörigen und damit im Bildungskontext zumeist unauffällig erscheinenden Grundsozialisation kaum. Auch liegt die Vermutung nahe, dass christlicher Fundamentalismus, im Unterschied zu anderen Formen</w:t>
      </w:r>
      <w:r>
        <w:rPr>
          <w:rFonts w:cs="Calibri"/>
        </w:rPr>
        <w:t xml:space="preserve"> des</w:t>
      </w:r>
      <w:r w:rsidRPr="00496E39">
        <w:rPr>
          <w:rFonts w:cs="Calibri"/>
        </w:rPr>
        <w:t xml:space="preserve"> religiösen Fundamentalismus, aufgrund seiner scheinbaren kulturellen Nähe zur deutschen Mehrheitsgesellschaft häufig weniger als fremd oder bedrohlich wahrgenommen wird.</w:t>
      </w:r>
    </w:p>
    <w:p w14:paraId="53FBF217" w14:textId="77777777" w:rsidR="00A768F4" w:rsidRPr="00CE0440" w:rsidRDefault="00A768F4" w:rsidP="00A768F4">
      <w:pPr>
        <w:tabs>
          <w:tab w:val="left" w:pos="5217"/>
        </w:tabs>
        <w:spacing w:line="276" w:lineRule="auto"/>
        <w:jc w:val="both"/>
        <w:rPr>
          <w:rFonts w:cs="Calibri"/>
        </w:rPr>
      </w:pPr>
      <w:r>
        <w:rPr>
          <w:rFonts w:cs="Calibri"/>
        </w:rPr>
        <w:t>V</w:t>
      </w:r>
      <w:r w:rsidRPr="002909BE">
        <w:rPr>
          <w:rFonts w:cs="Calibri"/>
        </w:rPr>
        <w:t xml:space="preserve">or diesem Hintergrund </w:t>
      </w:r>
      <w:r>
        <w:rPr>
          <w:rFonts w:cs="Calibri"/>
        </w:rPr>
        <w:t>möchte ich den weiteren, dringenden Forschungsbedarf hervorheben und ausführen</w:t>
      </w:r>
      <w:r w:rsidRPr="002909BE">
        <w:rPr>
          <w:rFonts w:cs="Calibri"/>
        </w:rPr>
        <w:t xml:space="preserve">, </w:t>
      </w:r>
      <w:r>
        <w:rPr>
          <w:rFonts w:cs="Calibri"/>
        </w:rPr>
        <w:t>der besonders</w:t>
      </w:r>
      <w:r w:rsidRPr="002909BE">
        <w:rPr>
          <w:rFonts w:cs="Calibri"/>
        </w:rPr>
        <w:t xml:space="preserve"> für eine </w:t>
      </w:r>
      <w:r>
        <w:rPr>
          <w:rFonts w:cs="Calibri"/>
        </w:rPr>
        <w:t>pädagogische Auseinandersetzung</w:t>
      </w:r>
      <w:r w:rsidRPr="002909BE">
        <w:rPr>
          <w:rFonts w:cs="Calibri"/>
        </w:rPr>
        <w:t xml:space="preserve"> zentral </w:t>
      </w:r>
      <w:r>
        <w:rPr>
          <w:rFonts w:cs="Calibri"/>
        </w:rPr>
        <w:t>ist</w:t>
      </w:r>
      <w:r w:rsidRPr="002909BE">
        <w:rPr>
          <w:rFonts w:cs="Calibri"/>
        </w:rPr>
        <w:t>. Erstens stellt sich die Frage nach den</w:t>
      </w:r>
      <w:r>
        <w:rPr>
          <w:rFonts w:cs="Calibri"/>
        </w:rPr>
        <w:t xml:space="preserve"> </w:t>
      </w:r>
      <w:r w:rsidRPr="002909BE">
        <w:rPr>
          <w:rFonts w:cs="Calibri"/>
          <w:b/>
          <w:bCs/>
        </w:rPr>
        <w:t>konkreten Auswirkungen des Aufwachsens und der Erziehung in christlich-</w:t>
      </w:r>
      <w:r w:rsidRPr="002909BE">
        <w:rPr>
          <w:rFonts w:cs="Calibri"/>
          <w:b/>
          <w:bCs/>
        </w:rPr>
        <w:lastRenderedPageBreak/>
        <w:t>fundamentalistischen Gemeinschaften auf Kinder und Jugendliche</w:t>
      </w:r>
      <w:r w:rsidRPr="002909BE">
        <w:rPr>
          <w:rFonts w:cs="Calibri"/>
        </w:rPr>
        <w:t>.</w:t>
      </w:r>
      <w:r>
        <w:rPr>
          <w:rFonts w:cs="Calibri"/>
        </w:rPr>
        <w:t xml:space="preserve"> H</w:t>
      </w:r>
      <w:r w:rsidRPr="00CE0440">
        <w:rPr>
          <w:rFonts w:cs="Calibri"/>
        </w:rPr>
        <w:t xml:space="preserve">ierzu </w:t>
      </w:r>
      <w:r>
        <w:rPr>
          <w:rFonts w:cs="Calibri"/>
        </w:rPr>
        <w:t xml:space="preserve">liegen </w:t>
      </w:r>
      <w:r w:rsidRPr="00CE0440">
        <w:rPr>
          <w:rFonts w:cs="Calibri"/>
        </w:rPr>
        <w:t xml:space="preserve">kaum empirische Befunde vor, obwohl gerade diese Perspektive Aufschluss über Entwicklungsverläufe, Identitätsbildungsprozesse und mögliche Spannungsverhältnisse zwischen </w:t>
      </w:r>
      <w:r>
        <w:rPr>
          <w:rFonts w:cs="Calibri"/>
        </w:rPr>
        <w:t>fundamentalistischer</w:t>
      </w:r>
      <w:r w:rsidRPr="00CE0440">
        <w:rPr>
          <w:rFonts w:cs="Calibri"/>
        </w:rPr>
        <w:t xml:space="preserve"> Sozialisation </w:t>
      </w:r>
      <w:r>
        <w:rPr>
          <w:rFonts w:cs="Calibri"/>
        </w:rPr>
        <w:t xml:space="preserve">und Bildungsverläufen geben könnte. </w:t>
      </w:r>
      <w:r w:rsidRPr="00CE0440">
        <w:rPr>
          <w:rFonts w:cs="Calibri"/>
        </w:rPr>
        <w:t>Zweitens sind</w:t>
      </w:r>
      <w:r>
        <w:rPr>
          <w:rFonts w:cs="Calibri"/>
        </w:rPr>
        <w:t xml:space="preserve"> </w:t>
      </w:r>
      <w:r w:rsidRPr="00CE0440">
        <w:rPr>
          <w:rFonts w:cs="Calibri"/>
          <w:b/>
          <w:bCs/>
        </w:rPr>
        <w:t>Ableitungen für eine (institutionelle) Demokratiebildung</w:t>
      </w:r>
      <w:r>
        <w:rPr>
          <w:rFonts w:cs="Calibri"/>
        </w:rPr>
        <w:t xml:space="preserve"> </w:t>
      </w:r>
      <w:r w:rsidRPr="00CE0440">
        <w:rPr>
          <w:rFonts w:cs="Calibri"/>
        </w:rPr>
        <w:t>notwendig, die systematisch untersucht, inwiefern fundamentalistische Orientierungen Ambiguitätstoleranz</w:t>
      </w:r>
      <w:r>
        <w:rPr>
          <w:rFonts w:cs="Calibri"/>
        </w:rPr>
        <w:t xml:space="preserve">, </w:t>
      </w:r>
      <w:r w:rsidRPr="00CE0440">
        <w:rPr>
          <w:rFonts w:cs="Calibri"/>
        </w:rPr>
        <w:t>Urteilsfähigkeit</w:t>
      </w:r>
      <w:r>
        <w:rPr>
          <w:rFonts w:cs="Calibri"/>
        </w:rPr>
        <w:t xml:space="preserve"> und dadurch </w:t>
      </w:r>
      <w:r w:rsidRPr="00CE0440">
        <w:rPr>
          <w:rFonts w:cs="Calibri"/>
        </w:rPr>
        <w:t xml:space="preserve">demokratische </w:t>
      </w:r>
      <w:r>
        <w:rPr>
          <w:rFonts w:cs="Calibri"/>
        </w:rPr>
        <w:t>Partizipationsfähigkeiten</w:t>
      </w:r>
      <w:r w:rsidRPr="00CE0440">
        <w:rPr>
          <w:rFonts w:cs="Calibri"/>
        </w:rPr>
        <w:t xml:space="preserve"> beeinflussen oder begrenzen.</w:t>
      </w:r>
      <w:r>
        <w:rPr>
          <w:rFonts w:cs="Calibri"/>
        </w:rPr>
        <w:t xml:space="preserve"> </w:t>
      </w:r>
      <w:r w:rsidRPr="00CE0440">
        <w:rPr>
          <w:rFonts w:cs="Calibri"/>
        </w:rPr>
        <w:t>Drittens bedarf es einer Klärung,</w:t>
      </w:r>
      <w:r>
        <w:rPr>
          <w:rFonts w:cs="Calibri"/>
        </w:rPr>
        <w:t xml:space="preserve"> </w:t>
      </w:r>
      <w:r w:rsidRPr="00CE0440">
        <w:rPr>
          <w:rFonts w:cs="Calibri"/>
          <w:b/>
          <w:bCs/>
        </w:rPr>
        <w:t>welcher Handlungsrahmen für das Bildungsfeld Schule</w:t>
      </w:r>
      <w:r>
        <w:rPr>
          <w:rFonts w:cs="Calibri"/>
        </w:rPr>
        <w:t xml:space="preserve"> </w:t>
      </w:r>
      <w:r w:rsidRPr="00CE0440">
        <w:rPr>
          <w:rFonts w:cs="Calibri"/>
        </w:rPr>
        <w:t>erforderlich ist, um professionell</w:t>
      </w:r>
      <w:r>
        <w:rPr>
          <w:rFonts w:cs="Calibri"/>
        </w:rPr>
        <w:t xml:space="preserve"> und theoretisch begründet mit Kindern und Jugendlichen aus christlich-fundamentalistisch geprägten Kontexten</w:t>
      </w:r>
      <w:r w:rsidRPr="00CE0440">
        <w:rPr>
          <w:rFonts w:cs="Calibri"/>
        </w:rPr>
        <w:t xml:space="preserve"> </w:t>
      </w:r>
      <w:r>
        <w:rPr>
          <w:rFonts w:cs="Calibri"/>
        </w:rPr>
        <w:t>arbeiten zu können</w:t>
      </w:r>
      <w:r w:rsidRPr="00CE0440">
        <w:rPr>
          <w:rFonts w:cs="Calibri"/>
        </w:rPr>
        <w:t>.</w:t>
      </w:r>
    </w:p>
    <w:p w14:paraId="03834DBA" w14:textId="77777777" w:rsidR="00A768F4" w:rsidRPr="00CF14DD" w:rsidRDefault="00A768F4" w:rsidP="00CF14DD">
      <w:pPr>
        <w:pStyle w:val="berschrift1"/>
        <w:numPr>
          <w:ilvl w:val="0"/>
          <w:numId w:val="0"/>
        </w:numPr>
        <w:spacing w:before="240" w:after="160"/>
        <w:ind w:left="431" w:hanging="431"/>
        <w:rPr>
          <w:rFonts w:asciiTheme="minorHAnsi" w:hAnsiTheme="minorHAnsi" w:cstheme="minorHAnsi"/>
          <w:color w:val="016D72"/>
          <w:sz w:val="32"/>
          <w:szCs w:val="32"/>
        </w:rPr>
      </w:pPr>
      <w:bookmarkStart w:id="95" w:name="_Toc215819952"/>
      <w:r w:rsidRPr="00CF14DD">
        <w:rPr>
          <w:rFonts w:asciiTheme="minorHAnsi" w:hAnsiTheme="minorHAnsi" w:cstheme="minorHAnsi"/>
          <w:color w:val="016D72"/>
          <w:sz w:val="32"/>
          <w:szCs w:val="32"/>
        </w:rPr>
        <w:t>7. Schlussbetrachtung</w:t>
      </w:r>
      <w:bookmarkEnd w:id="95"/>
    </w:p>
    <w:p w14:paraId="5F49853A" w14:textId="77777777" w:rsidR="00A768F4" w:rsidRPr="007C1C73" w:rsidRDefault="00A768F4" w:rsidP="00A768F4">
      <w:pPr>
        <w:spacing w:line="276" w:lineRule="auto"/>
        <w:jc w:val="both"/>
        <w:rPr>
          <w:rFonts w:cs="Calibri"/>
        </w:rPr>
      </w:pPr>
      <w:r w:rsidRPr="007C1C73">
        <w:rPr>
          <w:rFonts w:cs="Calibri"/>
        </w:rPr>
        <w:t xml:space="preserve">Christlicher Fundamentalismus ist kein trennscharfes Konzept. Es handelt sich vielmehr um ein vielgestaltiges Feld, dessen Übergänge (von konservativ über evangelikal bis fundamentalistisch) fließend und </w:t>
      </w:r>
      <w:r>
        <w:rPr>
          <w:rFonts w:cs="Calibri"/>
        </w:rPr>
        <w:t>oft</w:t>
      </w:r>
      <w:r w:rsidRPr="007C1C73">
        <w:rPr>
          <w:rFonts w:cs="Calibri"/>
        </w:rPr>
        <w:t xml:space="preserve"> überlappend sind. Trotz fehlender umfassender quantitativer Studienergebnisse über Mitglieder- oder Gruppenzahlen lassen sich im deutschen Raum zwei Hauptstrukturen erkennen</w:t>
      </w:r>
      <w:r>
        <w:rPr>
          <w:rFonts w:cs="Calibri"/>
        </w:rPr>
        <w:t>:</w:t>
      </w:r>
      <w:r w:rsidRPr="007C1C73">
        <w:rPr>
          <w:rFonts w:cs="Calibri"/>
        </w:rPr>
        <w:t xml:space="preserve"> </w:t>
      </w:r>
      <w:r>
        <w:rPr>
          <w:rFonts w:cs="Calibri"/>
        </w:rPr>
        <w:t>K</w:t>
      </w:r>
      <w:r w:rsidRPr="007C1C73">
        <w:rPr>
          <w:rFonts w:cs="Calibri"/>
        </w:rPr>
        <w:t>lassisch</w:t>
      </w:r>
      <w:r>
        <w:rPr>
          <w:rFonts w:cs="Calibri"/>
        </w:rPr>
        <w:t>-</w:t>
      </w:r>
      <w:r w:rsidRPr="007C1C73">
        <w:rPr>
          <w:rFonts w:cs="Calibri"/>
        </w:rPr>
        <w:t xml:space="preserve">fundamentalistische und lifestyle-orientierte Gemeinden. Besonders ins Auge fällt die zunehmende internationale Vernetzung vor allem letzterer, jüngerer Gemeinden und Bewegungen, die sich nach außen modern präsentieren, aber im ideologischen Unterbau häufig konservativ bis antipluralistisch ausgerichtet sind und sich klar gegen liberale Lebensentwürfe aussprechen. Durch christliche </w:t>
      </w:r>
      <w:proofErr w:type="gramStart"/>
      <w:r w:rsidRPr="007C1C73">
        <w:rPr>
          <w:rFonts w:cs="Calibri"/>
        </w:rPr>
        <w:t>Influencer:innen</w:t>
      </w:r>
      <w:proofErr w:type="gramEnd"/>
      <w:r w:rsidRPr="007C1C73">
        <w:rPr>
          <w:rFonts w:cs="Calibri"/>
        </w:rPr>
        <w:t xml:space="preserve"> und </w:t>
      </w:r>
      <w:r>
        <w:rPr>
          <w:rFonts w:cs="Calibri"/>
        </w:rPr>
        <w:t>die Fokussierung auf Soziale Medien</w:t>
      </w:r>
      <w:r w:rsidRPr="007C1C73">
        <w:rPr>
          <w:rFonts w:cs="Calibri"/>
        </w:rPr>
        <w:t xml:space="preserve"> können diese Inhalte, neben in </w:t>
      </w:r>
      <w:r>
        <w:rPr>
          <w:rFonts w:cs="Calibri"/>
        </w:rPr>
        <w:t xml:space="preserve">(klassisch) </w:t>
      </w:r>
      <w:r w:rsidRPr="007C1C73">
        <w:rPr>
          <w:rFonts w:cs="Calibri"/>
        </w:rPr>
        <w:t xml:space="preserve">fundamentalistischen Gemeinschaften sozialisierte, zunehmend auch junge Menschen erreichen, die bislang keine oder nur wenige Berührungspunkte mit fundamentalistischen Glaubensvorstellungen hatten. Gerade in diesem Bereich sowie an der Schnittstelle zu ultrakonservativen bis rechten Bewegungen entsteht ein neuer Resonanzraum, der sich pädagogisch nur schwer kontrollieren lässt, </w:t>
      </w:r>
      <w:r>
        <w:rPr>
          <w:rFonts w:cs="Calibri"/>
        </w:rPr>
        <w:t>jedoch</w:t>
      </w:r>
      <w:r w:rsidRPr="007C1C73">
        <w:rPr>
          <w:rFonts w:cs="Calibri"/>
        </w:rPr>
        <w:t xml:space="preserve"> bildungspolitisch und demokratiepädagogisch nicht unterschätzt werden darf.</w:t>
      </w:r>
      <w:r>
        <w:rPr>
          <w:rFonts w:cs="Calibri"/>
        </w:rPr>
        <w:t xml:space="preserve"> </w:t>
      </w:r>
      <w:r w:rsidRPr="00BA4341">
        <w:rPr>
          <w:rFonts w:cs="Calibri"/>
        </w:rPr>
        <w:t>Im Vergleich zur umfangreiche</w:t>
      </w:r>
      <w:r>
        <w:rPr>
          <w:rFonts w:cs="Calibri"/>
        </w:rPr>
        <w:t>re</w:t>
      </w:r>
      <w:r w:rsidRPr="00BA4341">
        <w:rPr>
          <w:rFonts w:cs="Calibri"/>
        </w:rPr>
        <w:t>n (pädagogischen) Forschung im Bereich des Islamismus besteht weiterhin ein deutlicher Mangel an quantitativen Studien zur fundamentalistischen und evangelikalen Landschaft in Deutschland. Ebenso fehlen qualitative Untersuchungen zu den Auswirkungen entsprechender Sozialisationsprozesse auf Kinder und Jugendliche</w:t>
      </w:r>
      <w:r>
        <w:rPr>
          <w:rFonts w:cs="Calibri"/>
        </w:rPr>
        <w:t>, den gesellschaftlichen und politischen Auswirkungen</w:t>
      </w:r>
      <w:r w:rsidRPr="00BA4341">
        <w:rPr>
          <w:rFonts w:cs="Calibri"/>
        </w:rPr>
        <w:t xml:space="preserve"> sowie zu möglichen pädagogischen Präventions- und Interventionsansätzen.</w:t>
      </w:r>
    </w:p>
    <w:p w14:paraId="2288E5CD" w14:textId="77777777" w:rsidR="00A768F4" w:rsidRPr="00BF32A6" w:rsidRDefault="00A768F4" w:rsidP="00A768F4">
      <w:pPr>
        <w:tabs>
          <w:tab w:val="left" w:pos="5217"/>
        </w:tabs>
        <w:spacing w:line="276" w:lineRule="auto"/>
        <w:jc w:val="both"/>
        <w:rPr>
          <w:rFonts w:cs="Calibri"/>
        </w:rPr>
      </w:pPr>
      <w:r w:rsidRPr="007C1C73">
        <w:rPr>
          <w:rFonts w:cs="Calibri"/>
        </w:rPr>
        <w:t xml:space="preserve">Der transatlantische Vergleich macht deutlich: Auch wenn </w:t>
      </w:r>
      <w:r>
        <w:rPr>
          <w:rFonts w:cs="Calibri"/>
        </w:rPr>
        <w:t xml:space="preserve">sich </w:t>
      </w:r>
      <w:r w:rsidRPr="007C1C73">
        <w:rPr>
          <w:rFonts w:cs="Calibri"/>
        </w:rPr>
        <w:t>die Entwicklungen in den USA nicht schablonenartig übertragen</w:t>
      </w:r>
      <w:r>
        <w:rPr>
          <w:rFonts w:cs="Calibri"/>
        </w:rPr>
        <w:t xml:space="preserve"> </w:t>
      </w:r>
      <w:r w:rsidRPr="007C1C73">
        <w:rPr>
          <w:rFonts w:cs="Calibri"/>
        </w:rPr>
        <w:t>lassen (z.</w:t>
      </w:r>
      <w:r>
        <w:rPr>
          <w:rFonts w:cs="Calibri"/>
        </w:rPr>
        <w:t xml:space="preserve"> </w:t>
      </w:r>
      <w:r w:rsidRPr="007C1C73">
        <w:rPr>
          <w:rFonts w:cs="Calibri"/>
        </w:rPr>
        <w:t>B. hinsichtlich Homeschooling, politischer und gesellschaftliche</w:t>
      </w:r>
      <w:r>
        <w:rPr>
          <w:rFonts w:cs="Calibri"/>
        </w:rPr>
        <w:t>r</w:t>
      </w:r>
      <w:r w:rsidRPr="007C1C73">
        <w:rPr>
          <w:rFonts w:cs="Calibri"/>
        </w:rPr>
        <w:t xml:space="preserve"> Verankerung fundamentalistischer Gruppen und öffentlicher Sichtbarkeit </w:t>
      </w:r>
      <w:r>
        <w:rPr>
          <w:rFonts w:cs="Calibri"/>
        </w:rPr>
        <w:t>ihrer</w:t>
      </w:r>
      <w:r w:rsidRPr="007C1C73">
        <w:rPr>
          <w:rFonts w:cs="Calibri"/>
        </w:rPr>
        <w:t xml:space="preserve"> Netzwerke) zeigen sich auch in Deutschland gesellschaftliche Gestaltungsansprüche fundamentalistisch geprägter Gruppen, die sich etwa auf den Bildungs- oder Wissenschaftsbereich ausdehnen. Stark autoritäre Glaubens- und Führungsstrukturen, eine starke innergemeinschaftliche Fokussierung, </w:t>
      </w:r>
      <w:r>
        <w:rPr>
          <w:rFonts w:cs="Calibri"/>
        </w:rPr>
        <w:t xml:space="preserve">Dualismus, </w:t>
      </w:r>
      <w:r w:rsidRPr="007C1C73">
        <w:rPr>
          <w:rFonts w:cs="Calibri"/>
        </w:rPr>
        <w:t xml:space="preserve">Ablehnung </w:t>
      </w:r>
      <w:r w:rsidRPr="000C7FC6">
        <w:rPr>
          <w:rFonts w:cs="Calibri"/>
          <w:i/>
          <w:iCs/>
        </w:rPr>
        <w:t>weltlicher</w:t>
      </w:r>
      <w:r w:rsidRPr="007C1C73">
        <w:rPr>
          <w:rFonts w:cs="Calibri"/>
        </w:rPr>
        <w:t xml:space="preserve"> und liberaler Werte und Komplexitätsreduktion sind den </w:t>
      </w:r>
      <w:r>
        <w:rPr>
          <w:rFonts w:cs="Calibri"/>
        </w:rPr>
        <w:t>(</w:t>
      </w:r>
      <w:r w:rsidRPr="007C1C73">
        <w:rPr>
          <w:rFonts w:cs="Calibri"/>
        </w:rPr>
        <w:t>Erziehungs</w:t>
      </w:r>
      <w:r>
        <w:rPr>
          <w:rFonts w:cs="Calibri"/>
        </w:rPr>
        <w:t>-)S</w:t>
      </w:r>
      <w:r w:rsidRPr="007C1C73">
        <w:rPr>
          <w:rFonts w:cs="Calibri"/>
        </w:rPr>
        <w:t>trukturen fundamentalistische</w:t>
      </w:r>
      <w:r>
        <w:rPr>
          <w:rFonts w:cs="Calibri"/>
        </w:rPr>
        <w:t>r</w:t>
      </w:r>
      <w:r w:rsidRPr="007C1C73">
        <w:rPr>
          <w:rFonts w:cs="Calibri"/>
        </w:rPr>
        <w:t xml:space="preserve"> </w:t>
      </w:r>
      <w:r>
        <w:rPr>
          <w:rFonts w:cs="Calibri"/>
        </w:rPr>
        <w:t xml:space="preserve">Milieus </w:t>
      </w:r>
      <w:r w:rsidRPr="007C1C73">
        <w:rPr>
          <w:rFonts w:cs="Calibri"/>
        </w:rPr>
        <w:t>inhärent</w:t>
      </w:r>
      <w:r>
        <w:rPr>
          <w:rFonts w:cs="Calibri"/>
        </w:rPr>
        <w:t xml:space="preserve">. </w:t>
      </w:r>
      <w:r w:rsidRPr="00CC1903">
        <w:rPr>
          <w:rFonts w:cs="Calibri"/>
        </w:rPr>
        <w:t xml:space="preserve">Insbesondere in der </w:t>
      </w:r>
      <w:r>
        <w:rPr>
          <w:rFonts w:cs="Calibri"/>
        </w:rPr>
        <w:t>Jugend</w:t>
      </w:r>
      <w:r w:rsidRPr="00CC1903">
        <w:rPr>
          <w:rFonts w:cs="Calibri"/>
        </w:rPr>
        <w:t xml:space="preserve">, einer Phase </w:t>
      </w:r>
      <w:r>
        <w:rPr>
          <w:rFonts w:cs="Calibri"/>
        </w:rPr>
        <w:t>geprägt durch</w:t>
      </w:r>
      <w:r w:rsidRPr="00CC1903">
        <w:rPr>
          <w:rFonts w:cs="Calibri"/>
        </w:rPr>
        <w:t xml:space="preserve"> Orientierungssuche </w:t>
      </w:r>
      <w:r>
        <w:rPr>
          <w:rFonts w:cs="Calibri"/>
        </w:rPr>
        <w:t>und Zugehörigkeit</w:t>
      </w:r>
      <w:r w:rsidRPr="00CC1903">
        <w:rPr>
          <w:rFonts w:cs="Calibri"/>
        </w:rPr>
        <w:t xml:space="preserve">, können solche Ordnungsangebote für </w:t>
      </w:r>
      <w:r>
        <w:rPr>
          <w:rFonts w:cs="Calibri"/>
        </w:rPr>
        <w:t>Heranwachsende</w:t>
      </w:r>
      <w:r w:rsidRPr="00CC1903">
        <w:rPr>
          <w:rFonts w:cs="Calibri"/>
        </w:rPr>
        <w:t xml:space="preserve"> eine besondere Anziehungskraft </w:t>
      </w:r>
      <w:r>
        <w:rPr>
          <w:rFonts w:cs="Calibri"/>
        </w:rPr>
        <w:t>generieren</w:t>
      </w:r>
      <w:r w:rsidRPr="00CC1903">
        <w:rPr>
          <w:rFonts w:cs="Calibri"/>
        </w:rPr>
        <w:t>.</w:t>
      </w:r>
      <w:r>
        <w:rPr>
          <w:rFonts w:cs="Calibri"/>
        </w:rPr>
        <w:t xml:space="preserve"> </w:t>
      </w:r>
      <w:r w:rsidRPr="007C1C73">
        <w:rPr>
          <w:rFonts w:cs="Calibri"/>
        </w:rPr>
        <w:t>Ziel einer unterstützenden und präventiven Bildun</w:t>
      </w:r>
      <w:r>
        <w:rPr>
          <w:rFonts w:cs="Calibri"/>
        </w:rPr>
        <w:t>g</w:t>
      </w:r>
      <w:r w:rsidRPr="007C1C73">
        <w:rPr>
          <w:rFonts w:cs="Calibri"/>
        </w:rPr>
        <w:t xml:space="preserve"> muss es darum sein, junge Menschen zu </w:t>
      </w:r>
      <w:r>
        <w:rPr>
          <w:rFonts w:cs="Calibri"/>
        </w:rPr>
        <w:t xml:space="preserve">kritischen sowie </w:t>
      </w:r>
      <w:r w:rsidRPr="007C1C73">
        <w:rPr>
          <w:rFonts w:cs="Calibri"/>
        </w:rPr>
        <w:t xml:space="preserve">möglichst autonomen und urteilsfähigen Individuen zu befähigen, die wiederrum die Grundlage einer demokratischen Gesellschaft </w:t>
      </w:r>
      <w:r>
        <w:rPr>
          <w:rFonts w:cs="Calibri"/>
        </w:rPr>
        <w:t>bilden können</w:t>
      </w:r>
      <w:r w:rsidRPr="007C1C73">
        <w:rPr>
          <w:rFonts w:cs="Calibri"/>
        </w:rPr>
        <w:t xml:space="preserve">. </w:t>
      </w:r>
      <w:r w:rsidRPr="007C1C73">
        <w:rPr>
          <w:rFonts w:cs="Calibri"/>
        </w:rPr>
        <w:lastRenderedPageBreak/>
        <w:t>Bildungseinrichtungen können hier eine entscheidende Rolle spielen, nicht nur als Vermittler</w:t>
      </w:r>
      <w:r>
        <w:rPr>
          <w:rFonts w:cs="Calibri"/>
        </w:rPr>
        <w:t>innen</w:t>
      </w:r>
      <w:r w:rsidRPr="007C1C73">
        <w:rPr>
          <w:rFonts w:cs="Calibri"/>
        </w:rPr>
        <w:t xml:space="preserve"> von Wissen, sondern als resiliente Institutionen, die das Äußern von Kritik und das Aushalten</w:t>
      </w:r>
      <w:r>
        <w:rPr>
          <w:rFonts w:cs="Calibri"/>
        </w:rPr>
        <w:t xml:space="preserve"> von</w:t>
      </w:r>
      <w:r w:rsidRPr="007C1C73">
        <w:rPr>
          <w:rFonts w:cs="Calibri"/>
        </w:rPr>
        <w:t xml:space="preserve"> sowie den Umgang mit Zweifel förder</w:t>
      </w:r>
      <w:r>
        <w:rPr>
          <w:rFonts w:cs="Calibri"/>
        </w:rPr>
        <w:t>n</w:t>
      </w:r>
      <w:r w:rsidRPr="007C1C73">
        <w:rPr>
          <w:rFonts w:cs="Calibri"/>
        </w:rPr>
        <w:t xml:space="preserve">, Austausch zwischen pluralistischen Lebensentwürfen </w:t>
      </w:r>
      <w:r>
        <w:rPr>
          <w:rFonts w:cs="Calibri"/>
        </w:rPr>
        <w:t>unterstützen</w:t>
      </w:r>
      <w:r w:rsidRPr="007C1C73">
        <w:rPr>
          <w:rFonts w:cs="Calibri"/>
        </w:rPr>
        <w:t xml:space="preserve"> und Heranwachsenden s</w:t>
      </w:r>
      <w:r>
        <w:rPr>
          <w:rFonts w:cs="Calibri"/>
        </w:rPr>
        <w:t xml:space="preserve">o ein Gegenangebot bieten: </w:t>
      </w:r>
      <w:r w:rsidRPr="007C1C73">
        <w:rPr>
          <w:rFonts w:cs="Calibri"/>
        </w:rPr>
        <w:t>ein Stück Sicherheit in einer ungewissen Welt.</w:t>
      </w:r>
    </w:p>
    <w:p w14:paraId="78E4BA3E" w14:textId="77777777" w:rsidR="00A768F4" w:rsidRPr="00CF14DD" w:rsidRDefault="00A768F4" w:rsidP="00CF14DD">
      <w:pPr>
        <w:pStyle w:val="berschrift1"/>
        <w:numPr>
          <w:ilvl w:val="0"/>
          <w:numId w:val="0"/>
        </w:numPr>
        <w:spacing w:before="240" w:after="160"/>
        <w:ind w:left="431" w:hanging="431"/>
        <w:rPr>
          <w:rFonts w:asciiTheme="minorHAnsi" w:hAnsiTheme="minorHAnsi" w:cstheme="minorHAnsi"/>
          <w:color w:val="016D72"/>
          <w:sz w:val="32"/>
          <w:szCs w:val="32"/>
          <w:lang w:val="en-GB"/>
        </w:rPr>
      </w:pPr>
      <w:bookmarkStart w:id="96" w:name="_Toc215819953"/>
      <w:r w:rsidRPr="00CF14DD">
        <w:rPr>
          <w:rFonts w:asciiTheme="minorHAnsi" w:hAnsiTheme="minorHAnsi" w:cstheme="minorHAnsi"/>
          <w:color w:val="016D72"/>
          <w:sz w:val="32"/>
          <w:szCs w:val="32"/>
          <w:lang w:val="en-GB"/>
        </w:rPr>
        <w:t>8. Literatur</w:t>
      </w:r>
      <w:bookmarkEnd w:id="96"/>
    </w:p>
    <w:p w14:paraId="79C9D561" w14:textId="77777777" w:rsidR="00A768F4" w:rsidRPr="00761061" w:rsidRDefault="00A768F4" w:rsidP="00A768F4">
      <w:pPr>
        <w:rPr>
          <w:lang w:val="en-US"/>
        </w:rPr>
      </w:pPr>
      <w:r w:rsidRPr="00761061">
        <w:rPr>
          <w:lang w:val="en-US"/>
        </w:rPr>
        <w:t xml:space="preserve">Almond, GA, E Sivan, und RS Appleby. 1995. „Fundamentalism: genus and </w:t>
      </w:r>
      <w:proofErr w:type="gramStart"/>
      <w:r w:rsidRPr="00761061">
        <w:rPr>
          <w:lang w:val="en-US"/>
        </w:rPr>
        <w:t>species“</w:t>
      </w:r>
      <w:proofErr w:type="gramEnd"/>
      <w:r w:rsidRPr="00761061">
        <w:rPr>
          <w:lang w:val="en-US"/>
        </w:rPr>
        <w:t xml:space="preserve">. In </w:t>
      </w:r>
      <w:r w:rsidRPr="00761061">
        <w:rPr>
          <w:i/>
          <w:iCs/>
          <w:lang w:val="en-US"/>
        </w:rPr>
        <w:t>Fundamentalisms Comprehended, The Fundamentalism Project</w:t>
      </w:r>
      <w:r w:rsidRPr="00761061">
        <w:rPr>
          <w:lang w:val="en-US"/>
        </w:rPr>
        <w:t>, Bd. 5. The University of Chicago Press.</w:t>
      </w:r>
    </w:p>
    <w:p w14:paraId="4F0BE9FE" w14:textId="77777777" w:rsidR="00A768F4" w:rsidRPr="00761061" w:rsidRDefault="00A768F4" w:rsidP="00A768F4">
      <w:pPr>
        <w:rPr>
          <w:lang w:val="en-US"/>
        </w:rPr>
      </w:pPr>
      <w:r w:rsidRPr="00761061">
        <w:rPr>
          <w:lang w:val="en-US"/>
        </w:rPr>
        <w:t xml:space="preserve">Almond, Gabriel A., R. Scott Appleby, und Emmanuel Sivan. 2003. </w:t>
      </w:r>
      <w:r w:rsidRPr="00761061">
        <w:rPr>
          <w:i/>
          <w:iCs/>
          <w:lang w:val="en-US"/>
        </w:rPr>
        <w:t>Strong religion: the rise of fundamentalisms around the world</w:t>
      </w:r>
      <w:r w:rsidRPr="00761061">
        <w:rPr>
          <w:lang w:val="en-US"/>
        </w:rPr>
        <w:t>. University of Chicago Press.</w:t>
      </w:r>
    </w:p>
    <w:p w14:paraId="171C8394" w14:textId="77777777" w:rsidR="00A768F4" w:rsidRPr="00761061" w:rsidRDefault="00A768F4" w:rsidP="00A768F4">
      <w:pPr>
        <w:rPr>
          <w:lang w:val="en-US"/>
        </w:rPr>
      </w:pPr>
      <w:r w:rsidRPr="00761061">
        <w:rPr>
          <w:lang w:val="en-US"/>
        </w:rPr>
        <w:t xml:space="preserve">Armaly, Miles T., David T. Buckley, und Adam M. Enders. 2022. „Christian Nationalism and Political Violence: Victimhood, Racial Identity, Conspiracy, and Support for the Capitol </w:t>
      </w:r>
      <w:proofErr w:type="gramStart"/>
      <w:r w:rsidRPr="00761061">
        <w:rPr>
          <w:lang w:val="en-US"/>
        </w:rPr>
        <w:t>Attacks“</w:t>
      </w:r>
      <w:proofErr w:type="gramEnd"/>
      <w:r w:rsidRPr="00761061">
        <w:rPr>
          <w:lang w:val="en-US"/>
        </w:rPr>
        <w:t xml:space="preserve">. </w:t>
      </w:r>
      <w:r w:rsidRPr="00761061">
        <w:rPr>
          <w:i/>
          <w:iCs/>
          <w:lang w:val="en-US"/>
        </w:rPr>
        <w:t>Political Behavior</w:t>
      </w:r>
      <w:r w:rsidRPr="00761061">
        <w:rPr>
          <w:lang w:val="en-US"/>
        </w:rPr>
        <w:t xml:space="preserve"> 44 (2): 937-60. https://doi.org/10.1007/s11109-021-09758-y.</w:t>
      </w:r>
    </w:p>
    <w:p w14:paraId="3BF07120" w14:textId="77777777" w:rsidR="00A768F4" w:rsidRPr="00761061" w:rsidRDefault="00A768F4" w:rsidP="00A768F4">
      <w:pPr>
        <w:rPr>
          <w:lang w:val="en-US"/>
        </w:rPr>
      </w:pPr>
      <w:r w:rsidRPr="00761061">
        <w:rPr>
          <w:lang w:val="en-US"/>
        </w:rPr>
        <w:t xml:space="preserve">Baehr, Jason. 2011. </w:t>
      </w:r>
      <w:r w:rsidRPr="00761061">
        <w:rPr>
          <w:i/>
          <w:iCs/>
          <w:lang w:val="en-US"/>
        </w:rPr>
        <w:t>The Inquiring Mind</w:t>
      </w:r>
      <w:r w:rsidRPr="00761061">
        <w:rPr>
          <w:lang w:val="en-US"/>
        </w:rPr>
        <w:t>. Oxford University Press. https://doi.org/10.1093/acprof:oso/9780199604074.001.0001.</w:t>
      </w:r>
    </w:p>
    <w:p w14:paraId="1230A07C" w14:textId="77777777" w:rsidR="00A768F4" w:rsidRPr="00761061" w:rsidRDefault="00A768F4" w:rsidP="00A768F4">
      <w:r w:rsidRPr="00761061">
        <w:t xml:space="preserve">Bassimir, Anna-Maria, und Katrin Kohle. 2017. „Evangelikalismus und Massenmedien: Strukturen in den USA“. In </w:t>
      </w:r>
      <w:r w:rsidRPr="00761061">
        <w:rPr>
          <w:i/>
          <w:iCs/>
        </w:rPr>
        <w:t>Handbuch Evangelikalismus</w:t>
      </w:r>
      <w:r w:rsidRPr="00761061">
        <w:t>, herausgegeben von Frederik Elwert, Martin Radermacher, und Jens Schlamelcher. Transcript.</w:t>
      </w:r>
    </w:p>
    <w:p w14:paraId="6E896FF0" w14:textId="77777777" w:rsidR="00A768F4" w:rsidRPr="00761061" w:rsidRDefault="00A768F4" w:rsidP="00A768F4">
      <w:r w:rsidRPr="00761061">
        <w:t xml:space="preserve">Bauer, Ullrich. 2012. </w:t>
      </w:r>
      <w:r w:rsidRPr="00761061">
        <w:rPr>
          <w:i/>
          <w:iCs/>
        </w:rPr>
        <w:t>Sozialisation und Ungleichheit: Eine Hinführung</w:t>
      </w:r>
      <w:r w:rsidRPr="00761061">
        <w:t>. VS Verlag für Sozialwissenschaften. https://doi.org/10.1007/978-3-531-93488-4.</w:t>
      </w:r>
    </w:p>
    <w:p w14:paraId="2998418D" w14:textId="77777777" w:rsidR="00A768F4" w:rsidRPr="00761061" w:rsidRDefault="00A768F4" w:rsidP="00A768F4">
      <w:r w:rsidRPr="00761061">
        <w:t xml:space="preserve">Bauer, Ullrich. 2023. </w:t>
      </w:r>
      <w:r w:rsidRPr="00761061">
        <w:rPr>
          <w:i/>
          <w:iCs/>
        </w:rPr>
        <w:t>Sozialisation in der Kontroverse</w:t>
      </w:r>
      <w:r w:rsidRPr="00761061">
        <w:t>. 1. Auflage. Juventa Verlag.</w:t>
      </w:r>
    </w:p>
    <w:p w14:paraId="51177F56" w14:textId="77777777" w:rsidR="00A768F4" w:rsidRPr="002F4E88" w:rsidRDefault="00A768F4" w:rsidP="00A768F4">
      <w:pPr>
        <w:rPr>
          <w:lang w:val="en-GB"/>
        </w:rPr>
      </w:pPr>
      <w:r w:rsidRPr="00761061">
        <w:t xml:space="preserve">Bednarz, Liane. 2018. </w:t>
      </w:r>
      <w:r w:rsidRPr="00761061">
        <w:rPr>
          <w:i/>
          <w:iCs/>
        </w:rPr>
        <w:t>Die Angstprediger: wie rechte Christen Gesellschaft und Kirchen unterwandern</w:t>
      </w:r>
      <w:r w:rsidRPr="00761061">
        <w:t xml:space="preserve">. </w:t>
      </w:r>
      <w:r w:rsidRPr="002F4E88">
        <w:rPr>
          <w:lang w:val="en-GB"/>
        </w:rPr>
        <w:t>Droemer Knaur.</w:t>
      </w:r>
    </w:p>
    <w:p w14:paraId="0D7CDA2A" w14:textId="77777777" w:rsidR="00A768F4" w:rsidRPr="00761061" w:rsidRDefault="00A768F4" w:rsidP="00A768F4">
      <w:pPr>
        <w:rPr>
          <w:lang w:val="en-US"/>
        </w:rPr>
      </w:pPr>
      <w:r w:rsidRPr="00761061">
        <w:rPr>
          <w:lang w:val="en-US"/>
        </w:rPr>
        <w:t xml:space="preserve">Brighouse, Harry, Helen F. Ladd, Susanna Loeb, und Adam Swift. </w:t>
      </w:r>
      <w:proofErr w:type="gramStart"/>
      <w:r w:rsidRPr="00761061">
        <w:rPr>
          <w:lang w:val="en-US"/>
        </w:rPr>
        <w:t>2016. „</w:t>
      </w:r>
      <w:proofErr w:type="gramEnd"/>
      <w:r w:rsidRPr="00761061">
        <w:rPr>
          <w:lang w:val="en-US"/>
        </w:rPr>
        <w:t xml:space="preserve">Educational Goods and Values: A Framework for Decision </w:t>
      </w:r>
      <w:proofErr w:type="gramStart"/>
      <w:r w:rsidRPr="00761061">
        <w:rPr>
          <w:lang w:val="en-US"/>
        </w:rPr>
        <w:t>Makers“</w:t>
      </w:r>
      <w:proofErr w:type="gramEnd"/>
      <w:r w:rsidRPr="00761061">
        <w:rPr>
          <w:lang w:val="en-US"/>
        </w:rPr>
        <w:t xml:space="preserve">. </w:t>
      </w:r>
      <w:r w:rsidRPr="00761061">
        <w:rPr>
          <w:i/>
          <w:iCs/>
          <w:lang w:val="en-US"/>
        </w:rPr>
        <w:t>Theory and Research in Education</w:t>
      </w:r>
      <w:r w:rsidRPr="00761061">
        <w:rPr>
          <w:lang w:val="en-US"/>
        </w:rPr>
        <w:t xml:space="preserve"> 14 (1): 3-25. https://doi.org/10.1177/1477878515620887.</w:t>
      </w:r>
    </w:p>
    <w:p w14:paraId="09CA4185" w14:textId="77777777" w:rsidR="00A768F4" w:rsidRPr="00761061" w:rsidRDefault="00A768F4" w:rsidP="00A768F4">
      <w:pPr>
        <w:rPr>
          <w:lang w:val="en-US"/>
        </w:rPr>
      </w:pPr>
      <w:r w:rsidRPr="00761061">
        <w:rPr>
          <w:lang w:val="en-US"/>
        </w:rPr>
        <w:t xml:space="preserve">Cervone, Jason A. 2017. „Fundamentalist Christianity, Neoliberal Capitalism, and the Destruction of Rural Public </w:t>
      </w:r>
      <w:proofErr w:type="gramStart"/>
      <w:r w:rsidRPr="00761061">
        <w:rPr>
          <w:lang w:val="en-US"/>
        </w:rPr>
        <w:t>Education“</w:t>
      </w:r>
      <w:proofErr w:type="gramEnd"/>
      <w:r w:rsidRPr="00761061">
        <w:rPr>
          <w:lang w:val="en-US"/>
        </w:rPr>
        <w:t xml:space="preserve">. </w:t>
      </w:r>
      <w:r w:rsidRPr="00761061">
        <w:rPr>
          <w:i/>
          <w:iCs/>
          <w:lang w:val="en-US"/>
        </w:rPr>
        <w:t>Review of Education, Pedagogy, and Cultural Studies</w:t>
      </w:r>
      <w:r w:rsidRPr="00761061">
        <w:rPr>
          <w:lang w:val="en-US"/>
        </w:rPr>
        <w:t xml:space="preserve"> 39 (3): 307-28. https://doi.org/10.1080/10714413.2017.1326278.</w:t>
      </w:r>
    </w:p>
    <w:p w14:paraId="2F405100" w14:textId="77777777" w:rsidR="00A768F4" w:rsidRPr="00761061" w:rsidRDefault="00A768F4" w:rsidP="00A768F4">
      <w:pPr>
        <w:rPr>
          <w:lang w:val="en-US"/>
        </w:rPr>
      </w:pPr>
      <w:r w:rsidRPr="00761061">
        <w:rPr>
          <w:lang w:val="nl-NL"/>
        </w:rPr>
        <w:t xml:space="preserve">De Graaf, Beatrice A, und Kees Van Den Bos. 2021. </w:t>
      </w:r>
      <w:r w:rsidRPr="00761061">
        <w:rPr>
          <w:lang w:val="en-US"/>
        </w:rPr>
        <w:t xml:space="preserve">„Religious Radicalization: Social Appraisals and Finding Radical Redemption in Extreme </w:t>
      </w:r>
      <w:proofErr w:type="gramStart"/>
      <w:r w:rsidRPr="00761061">
        <w:rPr>
          <w:lang w:val="en-US"/>
        </w:rPr>
        <w:t>Beliefs“</w:t>
      </w:r>
      <w:proofErr w:type="gramEnd"/>
      <w:r w:rsidRPr="00761061">
        <w:rPr>
          <w:lang w:val="en-US"/>
        </w:rPr>
        <w:t xml:space="preserve">. </w:t>
      </w:r>
      <w:r w:rsidRPr="00761061">
        <w:rPr>
          <w:i/>
          <w:iCs/>
          <w:lang w:val="en-US"/>
        </w:rPr>
        <w:t>Current Opinion in Psychology</w:t>
      </w:r>
      <w:r w:rsidRPr="00761061">
        <w:rPr>
          <w:lang w:val="en-US"/>
        </w:rPr>
        <w:t xml:space="preserve"> 40 (August): 56-60. https://doi.org/10.1016/j.copsyc.2020.08.028.</w:t>
      </w:r>
    </w:p>
    <w:p w14:paraId="517043FE" w14:textId="77777777" w:rsidR="00A768F4" w:rsidRPr="00761061" w:rsidRDefault="00A768F4" w:rsidP="00A768F4">
      <w:pPr>
        <w:rPr>
          <w:lang w:val="en-US"/>
        </w:rPr>
      </w:pPr>
      <w:r w:rsidRPr="00761061">
        <w:t xml:space="preserve">Demmrich, Sarah, und Paul H. P. Hanel. </w:t>
      </w:r>
      <w:proofErr w:type="gramStart"/>
      <w:r w:rsidRPr="00761061">
        <w:rPr>
          <w:lang w:val="en-US"/>
        </w:rPr>
        <w:t>2024. „</w:t>
      </w:r>
      <w:proofErr w:type="gramEnd"/>
      <w:r w:rsidRPr="00761061">
        <w:rPr>
          <w:lang w:val="en-US"/>
        </w:rPr>
        <w:t xml:space="preserve">The relative role of religiosity in radicalization: how orthodox and fundamentalist religiosity are linked to violence </w:t>
      </w:r>
      <w:proofErr w:type="gramStart"/>
      <w:r w:rsidRPr="00761061">
        <w:rPr>
          <w:lang w:val="en-US"/>
        </w:rPr>
        <w:t>acceptance“</w:t>
      </w:r>
      <w:proofErr w:type="gramEnd"/>
      <w:r w:rsidRPr="00761061">
        <w:rPr>
          <w:lang w:val="en-US"/>
        </w:rPr>
        <w:t xml:space="preserve">. </w:t>
      </w:r>
      <w:r w:rsidRPr="00761061">
        <w:rPr>
          <w:i/>
          <w:iCs/>
          <w:lang w:val="en-US"/>
        </w:rPr>
        <w:t>Frontiers in Social Psychology</w:t>
      </w:r>
      <w:r w:rsidRPr="00761061">
        <w:rPr>
          <w:lang w:val="en-US"/>
        </w:rPr>
        <w:t xml:space="preserve"> 2 (August): 1406688. https://doi.org/10.3389/frsps.2024.1406688.</w:t>
      </w:r>
    </w:p>
    <w:p w14:paraId="5AED3CB1" w14:textId="77777777" w:rsidR="00A768F4" w:rsidRPr="00761061" w:rsidRDefault="00A768F4" w:rsidP="00A768F4">
      <w:pPr>
        <w:rPr>
          <w:lang w:val="en-US"/>
        </w:rPr>
      </w:pPr>
      <w:r w:rsidRPr="00761061">
        <w:rPr>
          <w:lang w:val="en-US"/>
        </w:rPr>
        <w:t xml:space="preserve">Dietrich, Frank. 2022. „Critical Reflection and the Limits of Parental </w:t>
      </w:r>
      <w:proofErr w:type="gramStart"/>
      <w:r w:rsidRPr="00761061">
        <w:rPr>
          <w:lang w:val="en-US"/>
        </w:rPr>
        <w:t>Authority“</w:t>
      </w:r>
      <w:proofErr w:type="gramEnd"/>
      <w:r w:rsidRPr="00761061">
        <w:rPr>
          <w:lang w:val="en-US"/>
        </w:rPr>
        <w:t xml:space="preserve">. </w:t>
      </w:r>
      <w:r w:rsidRPr="00761061">
        <w:rPr>
          <w:i/>
          <w:iCs/>
          <w:lang w:val="en-US"/>
        </w:rPr>
        <w:t>Journal of Applied Philosophy</w:t>
      </w:r>
      <w:r w:rsidRPr="00761061">
        <w:rPr>
          <w:lang w:val="en-US"/>
        </w:rPr>
        <w:t xml:space="preserve"> 39 (4): 562-80. https://doi.org/10.1111/japp.12555.</w:t>
      </w:r>
    </w:p>
    <w:p w14:paraId="5A3E2ED6" w14:textId="77777777" w:rsidR="00A768F4" w:rsidRPr="00761061" w:rsidRDefault="00A768F4" w:rsidP="00A768F4">
      <w:pPr>
        <w:rPr>
          <w:lang w:val="en-US"/>
        </w:rPr>
      </w:pPr>
      <w:r w:rsidRPr="00C66CB1">
        <w:rPr>
          <w:lang w:val="en-GB"/>
        </w:rPr>
        <w:t xml:space="preserve">Dietz, Thorsten. </w:t>
      </w:r>
      <w:r w:rsidRPr="00761061">
        <w:t xml:space="preserve">2019. „Der demokratische Rechtsstaat und seine religiösen Befürworter bzw. Gegner: Theologische Auseinandersetzungen mit der Demokratie unter besonderer Berücksichtigung </w:t>
      </w:r>
      <w:r w:rsidRPr="00761061">
        <w:lastRenderedPageBreak/>
        <w:t xml:space="preserve">der evangelikalen Bewegung in Deutschland“. In </w:t>
      </w:r>
      <w:r w:rsidRPr="00761061">
        <w:rPr>
          <w:i/>
          <w:iCs/>
        </w:rPr>
        <w:t>Theologie und Soziale Arbeit im Gespräch</w:t>
      </w:r>
      <w:r w:rsidRPr="00761061">
        <w:t xml:space="preserve">, herausgegeben von Claudia Rahnfeld. </w:t>
      </w:r>
      <w:r w:rsidRPr="00761061">
        <w:rPr>
          <w:lang w:val="en-US"/>
        </w:rPr>
        <w:t>Springer Fachmedien Wiesbaden. https://doi.org/10.1007/978-3-658-24213-8_5.</w:t>
      </w:r>
    </w:p>
    <w:p w14:paraId="1E97AE19" w14:textId="77777777" w:rsidR="00A768F4" w:rsidRPr="00761061" w:rsidRDefault="00A768F4" w:rsidP="00A768F4">
      <w:pPr>
        <w:rPr>
          <w:lang w:val="en-US"/>
        </w:rPr>
      </w:pPr>
      <w:r w:rsidRPr="00761061">
        <w:rPr>
          <w:lang w:val="en-US"/>
        </w:rPr>
        <w:t xml:space="preserve">Eisenstadt, S. 1999. </w:t>
      </w:r>
      <w:r w:rsidRPr="00761061">
        <w:rPr>
          <w:i/>
          <w:iCs/>
          <w:lang w:val="en-US"/>
        </w:rPr>
        <w:t>Fundamentalism, Sectarianism, and Revolution: The Jacobin Dimension of Modernity</w:t>
      </w:r>
      <w:r w:rsidRPr="00761061">
        <w:rPr>
          <w:lang w:val="en-US"/>
        </w:rPr>
        <w:t>. Cambridge Cultural Social Studies. Cambridge University Press. https://doi.org/10.1017/CBO9780511520822.</w:t>
      </w:r>
    </w:p>
    <w:p w14:paraId="3BFEAD34" w14:textId="77777777" w:rsidR="00A768F4" w:rsidRPr="00761061" w:rsidRDefault="00A768F4" w:rsidP="00A768F4">
      <w:r w:rsidRPr="00761061">
        <w:t xml:space="preserve">Elwert, Frederik. 2015. </w:t>
      </w:r>
      <w:r w:rsidRPr="00761061">
        <w:rPr>
          <w:i/>
          <w:iCs/>
        </w:rPr>
        <w:t xml:space="preserve">Religion als Ressource und Restriktion im Integrationsprozess: Eine Fallstudie zu </w:t>
      </w:r>
      <w:proofErr w:type="gramStart"/>
      <w:r w:rsidRPr="00761061">
        <w:rPr>
          <w:i/>
          <w:iCs/>
        </w:rPr>
        <w:t>Biographien</w:t>
      </w:r>
      <w:proofErr w:type="gramEnd"/>
      <w:r w:rsidRPr="00761061">
        <w:rPr>
          <w:i/>
          <w:iCs/>
        </w:rPr>
        <w:t xml:space="preserve"> freikirchlicher Russlanddeutscher</w:t>
      </w:r>
      <w:r w:rsidRPr="00761061">
        <w:t>. Springer Fachmedien Wiesbaden. https://doi.org/10.1007/978-3-658-10100-8.</w:t>
      </w:r>
    </w:p>
    <w:p w14:paraId="34477F9B" w14:textId="77777777" w:rsidR="00A768F4" w:rsidRPr="00761061" w:rsidRDefault="00A768F4" w:rsidP="00A768F4">
      <w:r w:rsidRPr="00761061">
        <w:t xml:space="preserve">Elwert, Frederik, und Martin Radermacher. 2017. „Evangelikalismus in Europa“. In </w:t>
      </w:r>
      <w:r w:rsidRPr="00761061">
        <w:rPr>
          <w:i/>
          <w:iCs/>
        </w:rPr>
        <w:t>Handbuch Evangelikalismus</w:t>
      </w:r>
      <w:r w:rsidRPr="00761061">
        <w:t>. Transcript Verlag.</w:t>
      </w:r>
    </w:p>
    <w:p w14:paraId="35F71D60" w14:textId="77777777" w:rsidR="00A768F4" w:rsidRPr="005E00B3" w:rsidRDefault="00A768F4" w:rsidP="00A768F4">
      <w:pPr>
        <w:rPr>
          <w:lang w:val="en-GB"/>
        </w:rPr>
      </w:pPr>
      <w:r w:rsidRPr="00761061">
        <w:t xml:space="preserve">Elwert, Frederik, Martin Radermacher, und Jens Schlamelcher, Hrsg. 2017. </w:t>
      </w:r>
      <w:r w:rsidRPr="005E00B3">
        <w:rPr>
          <w:i/>
          <w:iCs/>
          <w:lang w:val="en-GB"/>
        </w:rPr>
        <w:t>Handbuch Evangelikalismus</w:t>
      </w:r>
      <w:r w:rsidRPr="005E00B3">
        <w:rPr>
          <w:lang w:val="en-GB"/>
        </w:rPr>
        <w:t>. Religionswissenschaft (Bielefeld), Band 5. Transcript.</w:t>
      </w:r>
    </w:p>
    <w:p w14:paraId="642EAAF6" w14:textId="77777777" w:rsidR="00A768F4" w:rsidRPr="00761061" w:rsidRDefault="00A768F4" w:rsidP="00A768F4">
      <w:pPr>
        <w:rPr>
          <w:lang w:val="en-US"/>
        </w:rPr>
      </w:pPr>
      <w:r w:rsidRPr="00C66CB1">
        <w:rPr>
          <w:lang w:val="en-GB"/>
        </w:rPr>
        <w:t xml:space="preserve">Emerson, Michael O., und David Hartman. </w:t>
      </w:r>
      <w:r w:rsidRPr="00761061">
        <w:rPr>
          <w:lang w:val="en-US"/>
        </w:rPr>
        <w:t xml:space="preserve">2006. „The Rise of Religious </w:t>
      </w:r>
      <w:proofErr w:type="gramStart"/>
      <w:r w:rsidRPr="00761061">
        <w:rPr>
          <w:lang w:val="en-US"/>
        </w:rPr>
        <w:t>Fundamentalism“</w:t>
      </w:r>
      <w:proofErr w:type="gramEnd"/>
      <w:r w:rsidRPr="00761061">
        <w:rPr>
          <w:lang w:val="en-US"/>
        </w:rPr>
        <w:t xml:space="preserve">. </w:t>
      </w:r>
      <w:r w:rsidRPr="00761061">
        <w:rPr>
          <w:i/>
          <w:iCs/>
          <w:lang w:val="en-US"/>
        </w:rPr>
        <w:t>Annual Review of Sociology</w:t>
      </w:r>
      <w:r w:rsidRPr="00761061">
        <w:rPr>
          <w:lang w:val="en-US"/>
        </w:rPr>
        <w:t xml:space="preserve"> 32 (1): 127-44. https://doi.org/10.1146/annurev.soc.32.061604.123141.</w:t>
      </w:r>
    </w:p>
    <w:p w14:paraId="6D619D52" w14:textId="77777777" w:rsidR="00A768F4" w:rsidRPr="00761061" w:rsidRDefault="00A768F4" w:rsidP="00A768F4">
      <w:r w:rsidRPr="005E00B3">
        <w:t xml:space="preserve">Ens, Kornelius. </w:t>
      </w:r>
      <w:r w:rsidRPr="00761061">
        <w:t xml:space="preserve">2017. „Religiosität unter Russlanddeutschen.“ </w:t>
      </w:r>
      <w:r w:rsidRPr="00761061">
        <w:rPr>
          <w:i/>
          <w:iCs/>
        </w:rPr>
        <w:t>Bundeszentrale für politische Bildung.</w:t>
      </w:r>
      <w:r w:rsidRPr="00761061">
        <w:t xml:space="preserve"> Zugegriffen: 01. Dezember 2025. https://www.bpb.de/themen/migration-integration/kurzdossiers/252539/religiositaet-unter-russlanddeutschen/.</w:t>
      </w:r>
    </w:p>
    <w:p w14:paraId="54DD3997" w14:textId="77777777" w:rsidR="00A768F4" w:rsidRPr="00761061" w:rsidRDefault="00A768F4" w:rsidP="00A768F4">
      <w:pPr>
        <w:rPr>
          <w:lang w:val="en-US"/>
        </w:rPr>
      </w:pPr>
      <w:r w:rsidRPr="00761061">
        <w:rPr>
          <w:lang w:val="en-US"/>
        </w:rPr>
        <w:t xml:space="preserve">Evans, John Hyde. 2018. </w:t>
      </w:r>
      <w:r w:rsidRPr="00761061">
        <w:rPr>
          <w:i/>
          <w:iCs/>
          <w:lang w:val="en-US"/>
        </w:rPr>
        <w:t>Morals not knowledge: recasting the contemporary U.S. conflict between religion and science</w:t>
      </w:r>
      <w:r w:rsidRPr="00761061">
        <w:rPr>
          <w:lang w:val="en-US"/>
        </w:rPr>
        <w:t>. University of California Press.</w:t>
      </w:r>
    </w:p>
    <w:p w14:paraId="45F737C9" w14:textId="77777777" w:rsidR="00A768F4" w:rsidRPr="005E00B3" w:rsidRDefault="00A768F4" w:rsidP="00A768F4">
      <w:r w:rsidRPr="00761061">
        <w:rPr>
          <w:lang w:val="en-US"/>
        </w:rPr>
        <w:t xml:space="preserve">Farkas, Johan, Jannick Schou, und Christina Neumayer. 2018. „Cloaked Facebook Pages: Exploring Fake Islamist Propaganda in Social </w:t>
      </w:r>
      <w:proofErr w:type="gramStart"/>
      <w:r w:rsidRPr="00761061">
        <w:rPr>
          <w:lang w:val="en-US"/>
        </w:rPr>
        <w:t>Media“</w:t>
      </w:r>
      <w:proofErr w:type="gramEnd"/>
      <w:r w:rsidRPr="00761061">
        <w:rPr>
          <w:lang w:val="en-US"/>
        </w:rPr>
        <w:t xml:space="preserve">. </w:t>
      </w:r>
      <w:r w:rsidRPr="005E00B3">
        <w:rPr>
          <w:i/>
          <w:iCs/>
        </w:rPr>
        <w:t>New Media &amp; Society</w:t>
      </w:r>
      <w:r w:rsidRPr="005E00B3">
        <w:t xml:space="preserve"> 20 (5): 1850-67. https://doi.org/10.1177/1461444817707759.</w:t>
      </w:r>
    </w:p>
    <w:p w14:paraId="3824035F" w14:textId="77777777" w:rsidR="00A768F4" w:rsidRPr="00761061" w:rsidRDefault="00A768F4" w:rsidP="00A768F4">
      <w:r w:rsidRPr="005E00B3">
        <w:t xml:space="preserve">Feierabend, Sabine, Thomas Rathgeb, Yvonne Gerigk, und Stephan Glöckler. 2024. </w:t>
      </w:r>
      <w:r w:rsidRPr="00761061">
        <w:rPr>
          <w:i/>
          <w:iCs/>
        </w:rPr>
        <w:t>JIM 2024; Jugend, Information, Medien Basisuntersuchung zum Medienumgang 12- bis 19-Jähriger in Deutschland</w:t>
      </w:r>
      <w:r w:rsidRPr="00761061">
        <w:t>. Medienpädagogischer Forschungsverbund Südwest.</w:t>
      </w:r>
    </w:p>
    <w:p w14:paraId="58A215D2" w14:textId="77777777" w:rsidR="00A768F4" w:rsidRPr="00761061" w:rsidRDefault="00A768F4" w:rsidP="00A768F4">
      <w:r w:rsidRPr="00761061">
        <w:t xml:space="preserve">Fritz, Martin. 2025. „Rechtes Christentum“. </w:t>
      </w:r>
      <w:r w:rsidRPr="00761061">
        <w:rPr>
          <w:i/>
          <w:iCs/>
        </w:rPr>
        <w:t>Zeitschrift für Religion und Weltanschauung</w:t>
      </w:r>
      <w:r w:rsidRPr="00761061">
        <w:t xml:space="preserve"> 16 (87): 65</w:t>
      </w:r>
      <w:r>
        <w:t>-</w:t>
      </w:r>
      <w:r w:rsidRPr="00761061">
        <w:t xml:space="preserve">69. </w:t>
      </w:r>
    </w:p>
    <w:p w14:paraId="5D2C0FF9" w14:textId="77777777" w:rsidR="00A768F4" w:rsidRPr="00761061" w:rsidRDefault="00A768F4" w:rsidP="00A768F4">
      <w:pPr>
        <w:rPr>
          <w:lang w:val="en-US"/>
        </w:rPr>
      </w:pPr>
      <w:r w:rsidRPr="00761061">
        <w:t xml:space="preserve">Giesinger, Johannes. 2018. „Pflicht zum Gehorsam? Legitime Autorität in der Schule.“ </w:t>
      </w:r>
      <w:r w:rsidRPr="00761061">
        <w:rPr>
          <w:i/>
          <w:iCs/>
          <w:lang w:val="en-US"/>
        </w:rPr>
        <w:t>Pädagogische Rundschau</w:t>
      </w:r>
      <w:r w:rsidRPr="00761061">
        <w:rPr>
          <w:lang w:val="en-US"/>
        </w:rPr>
        <w:t xml:space="preserve"> 72 (4): 609-20.</w:t>
      </w:r>
    </w:p>
    <w:p w14:paraId="7E6DB8DE" w14:textId="77777777" w:rsidR="00A768F4" w:rsidRPr="00761061" w:rsidRDefault="00A768F4" w:rsidP="00A768F4">
      <w:pPr>
        <w:rPr>
          <w:lang w:val="en-US"/>
        </w:rPr>
      </w:pPr>
      <w:r w:rsidRPr="00761061">
        <w:rPr>
          <w:lang w:val="en-US"/>
        </w:rPr>
        <w:t xml:space="preserve">Gorski, Philip. 2017. „Why Evangelicals Voted for Trump: A Critical Cultural </w:t>
      </w:r>
      <w:proofErr w:type="gramStart"/>
      <w:r w:rsidRPr="00761061">
        <w:rPr>
          <w:lang w:val="en-US"/>
        </w:rPr>
        <w:t>Sociology“</w:t>
      </w:r>
      <w:proofErr w:type="gramEnd"/>
      <w:r w:rsidRPr="00761061">
        <w:rPr>
          <w:lang w:val="en-US"/>
        </w:rPr>
        <w:t xml:space="preserve">. </w:t>
      </w:r>
      <w:r w:rsidRPr="00761061">
        <w:rPr>
          <w:i/>
          <w:iCs/>
          <w:lang w:val="en-US"/>
        </w:rPr>
        <w:t>American Journal of Cultural Sociology</w:t>
      </w:r>
      <w:r w:rsidRPr="00761061">
        <w:rPr>
          <w:lang w:val="en-US"/>
        </w:rPr>
        <w:t xml:space="preserve"> 5 (3): 338–54. https://doi.org/10.1057/s41290-017-0043-9.</w:t>
      </w:r>
    </w:p>
    <w:p w14:paraId="525A0EB0" w14:textId="77777777" w:rsidR="00A768F4" w:rsidRPr="005E00B3" w:rsidRDefault="00A768F4" w:rsidP="00A768F4">
      <w:r w:rsidRPr="00761061">
        <w:rPr>
          <w:lang w:val="en-US"/>
        </w:rPr>
        <w:t xml:space="preserve">Gorski, Philip S., Samuel L. Perry, und Jemar Tisby. 2022. </w:t>
      </w:r>
      <w:r w:rsidRPr="00761061">
        <w:rPr>
          <w:i/>
          <w:iCs/>
          <w:lang w:val="en-US"/>
        </w:rPr>
        <w:t>The Flag and the Cross: White Christian Nationalism and the Threat to American Democracy</w:t>
      </w:r>
      <w:r w:rsidRPr="00761061">
        <w:rPr>
          <w:lang w:val="en-US"/>
        </w:rPr>
        <w:t xml:space="preserve">. </w:t>
      </w:r>
      <w:r w:rsidRPr="005E00B3">
        <w:t>1. Aufl. Oxford University PressNew York. https://doi.org/10.1093/oso/9780197618684.001.0001.</w:t>
      </w:r>
    </w:p>
    <w:p w14:paraId="63F26175" w14:textId="77777777" w:rsidR="00A768F4" w:rsidRPr="00761061" w:rsidRDefault="00A768F4" w:rsidP="00A768F4">
      <w:r w:rsidRPr="005E00B3">
        <w:t xml:space="preserve">Grotepass, Christoph. </w:t>
      </w:r>
      <w:r w:rsidRPr="00761061">
        <w:t xml:space="preserve">2025. </w:t>
      </w:r>
      <w:r w:rsidRPr="00761061">
        <w:rPr>
          <w:i/>
          <w:iCs/>
        </w:rPr>
        <w:t xml:space="preserve">Bericht über die Arbeit des Sekten-Info Nordrhein-Westfalen e.V. und über Aktivitäten konfliktträchtiger religiöser Gemeinschaften </w:t>
      </w:r>
      <w:proofErr w:type="gramStart"/>
      <w:r w:rsidRPr="00761061">
        <w:rPr>
          <w:i/>
          <w:iCs/>
        </w:rPr>
        <w:t>in 2024</w:t>
      </w:r>
      <w:proofErr w:type="gramEnd"/>
      <w:r w:rsidRPr="00761061">
        <w:t>. Sekten Info NRW.</w:t>
      </w:r>
    </w:p>
    <w:p w14:paraId="6491B871" w14:textId="77777777" w:rsidR="00A768F4" w:rsidRPr="00761061" w:rsidRDefault="00A768F4" w:rsidP="00A768F4">
      <w:r w:rsidRPr="00761061">
        <w:t xml:space="preserve">Guske, Katja. 2014. </w:t>
      </w:r>
      <w:r w:rsidRPr="00761061">
        <w:rPr>
          <w:i/>
          <w:iCs/>
        </w:rPr>
        <w:t>Zwischen Bibel und Grundgesetz: Die Religionspolitik der Evangelikalen in Deutschland</w:t>
      </w:r>
      <w:r w:rsidRPr="00761061">
        <w:t>. SpringerLink Bücher. Springer VS. https://doi.org/10.1007/978-3-658-03847-2.</w:t>
      </w:r>
    </w:p>
    <w:p w14:paraId="455DB951" w14:textId="77777777" w:rsidR="00A768F4" w:rsidRPr="00761061" w:rsidRDefault="00A768F4" w:rsidP="00A768F4">
      <w:pPr>
        <w:rPr>
          <w:lang w:val="en-US"/>
        </w:rPr>
      </w:pPr>
      <w:r w:rsidRPr="00761061">
        <w:lastRenderedPageBreak/>
        <w:t xml:space="preserve">Habermas, Jurgen, und Seyla Ben-Habib. </w:t>
      </w:r>
      <w:r w:rsidRPr="00761061">
        <w:rPr>
          <w:lang w:val="en-US"/>
        </w:rPr>
        <w:t xml:space="preserve">1981. „Modernity versus </w:t>
      </w:r>
      <w:proofErr w:type="gramStart"/>
      <w:r w:rsidRPr="00761061">
        <w:rPr>
          <w:lang w:val="en-US"/>
        </w:rPr>
        <w:t>Postmodernity“</w:t>
      </w:r>
      <w:proofErr w:type="gramEnd"/>
      <w:r w:rsidRPr="00761061">
        <w:rPr>
          <w:lang w:val="en-US"/>
        </w:rPr>
        <w:t xml:space="preserve">. </w:t>
      </w:r>
      <w:r w:rsidRPr="00761061">
        <w:rPr>
          <w:i/>
          <w:iCs/>
          <w:lang w:val="en-US"/>
        </w:rPr>
        <w:t>New German Critique</w:t>
      </w:r>
      <w:r w:rsidRPr="00761061">
        <w:rPr>
          <w:lang w:val="en-US"/>
        </w:rPr>
        <w:t>, Nr. 22: 3. https://doi.org/10.2307/487859.</w:t>
      </w:r>
    </w:p>
    <w:p w14:paraId="379B3257" w14:textId="77777777" w:rsidR="00A768F4" w:rsidRPr="00761061" w:rsidRDefault="00A768F4" w:rsidP="00A768F4">
      <w:r w:rsidRPr="005E00B3">
        <w:t xml:space="preserve">Hecken, Thomas. 2015. </w:t>
      </w:r>
      <w:r w:rsidRPr="00761061">
        <w:rPr>
          <w:i/>
          <w:iCs/>
        </w:rPr>
        <w:t>Pop: Geschichte eines Konzepts 1955-2009</w:t>
      </w:r>
      <w:r w:rsidRPr="00761061">
        <w:t>. Kultur- und Medientheorie. Transcript Verlag. https://doi.org/10.14361/9783839409824.</w:t>
      </w:r>
    </w:p>
    <w:p w14:paraId="57E70C3F" w14:textId="77777777" w:rsidR="00A768F4" w:rsidRPr="00761061" w:rsidRDefault="00A768F4" w:rsidP="00A768F4">
      <w:pPr>
        <w:rPr>
          <w:lang w:val="en-US"/>
        </w:rPr>
      </w:pPr>
      <w:r w:rsidRPr="00761061">
        <w:rPr>
          <w:i/>
          <w:iCs/>
          <w:lang w:val="en-US"/>
        </w:rPr>
        <w:t>Hillsong Germany</w:t>
      </w:r>
      <w:r w:rsidRPr="00761061">
        <w:rPr>
          <w:lang w:val="en-US"/>
        </w:rPr>
        <w:t>. 2025. Oktober 11. https://hillsong.com/germany/.</w:t>
      </w:r>
    </w:p>
    <w:p w14:paraId="55CDA227" w14:textId="77777777" w:rsidR="00A768F4" w:rsidRPr="00761061" w:rsidRDefault="00A768F4" w:rsidP="00A768F4">
      <w:r w:rsidRPr="00761061">
        <w:rPr>
          <w:lang w:val="en-US"/>
        </w:rPr>
        <w:t xml:space="preserve">Hinsenkamp, Maria. </w:t>
      </w:r>
      <w:r w:rsidRPr="00761061">
        <w:t xml:space="preserve">2025. </w:t>
      </w:r>
      <w:r w:rsidRPr="00761061">
        <w:rPr>
          <w:i/>
          <w:iCs/>
        </w:rPr>
        <w:t>Visionen eines neuen Christentums: Neuere Entwicklungen pfingstlich-charismatischer Netzwerke</w:t>
      </w:r>
      <w:r w:rsidRPr="00761061">
        <w:t>. Religion in Bewegung | Religion in Motion 4. Transcript Verlag. https://doi.org/10.1515/9783839472521.</w:t>
      </w:r>
    </w:p>
    <w:p w14:paraId="4CD2A721" w14:textId="77777777" w:rsidR="00A768F4" w:rsidRPr="00761061" w:rsidRDefault="00A768F4" w:rsidP="00A768F4">
      <w:r w:rsidRPr="00761061">
        <w:t xml:space="preserve">Hochgeschwender, Michael. 2017. „Evangelikalismus: Begriffsbestimmung und phänomenale Abgrenzung“. In </w:t>
      </w:r>
      <w:r w:rsidRPr="00761061">
        <w:rPr>
          <w:i/>
          <w:iCs/>
        </w:rPr>
        <w:t>Handbuch Evangelikalismus</w:t>
      </w:r>
      <w:r w:rsidRPr="00761061">
        <w:t>, herausgegeben von Frederik Elwert, Martin Radermacher, und Jens Schlamelcher. Transcript.</w:t>
      </w:r>
    </w:p>
    <w:p w14:paraId="48628B95" w14:textId="77777777" w:rsidR="00A768F4" w:rsidRPr="00761061" w:rsidRDefault="00A768F4" w:rsidP="00A768F4">
      <w:r w:rsidRPr="00761061">
        <w:t xml:space="preserve">Hornung, Esther. 2017. „Geschichte des Evangelikalismus in Europa“. In </w:t>
      </w:r>
      <w:r w:rsidRPr="00761061">
        <w:rPr>
          <w:i/>
          <w:iCs/>
        </w:rPr>
        <w:t>Handbuch Evangelikalismus</w:t>
      </w:r>
      <w:r w:rsidRPr="00761061">
        <w:t>, Band 5. Religionswissenschaft (Bielefeld). Transcript.</w:t>
      </w:r>
    </w:p>
    <w:p w14:paraId="0791B0DE" w14:textId="77777777" w:rsidR="00A768F4" w:rsidRPr="00761061" w:rsidRDefault="00A768F4" w:rsidP="00A768F4">
      <w:r w:rsidRPr="00761061">
        <w:t xml:space="preserve">Huang, J., S. Jacoby, M. Strickland, und K.K.R. Lai. 2016. </w:t>
      </w:r>
      <w:r w:rsidRPr="00761061">
        <w:rPr>
          <w:lang w:val="en-US"/>
        </w:rPr>
        <w:t xml:space="preserve">„Election 2016: Exit Polls.“ </w:t>
      </w:r>
      <w:r w:rsidRPr="005E00B3">
        <w:rPr>
          <w:lang w:val="en-GB"/>
        </w:rPr>
        <w:t xml:space="preserve">Nr. New York Times. </w:t>
      </w:r>
      <w:r w:rsidRPr="00761061">
        <w:t>Zugegriffen: 01. Dezember 2025. https://www.nytimes.com/interactive/2016/11/08/us/politics/election-exit-polls.html.</w:t>
      </w:r>
    </w:p>
    <w:p w14:paraId="7B3AF10A" w14:textId="77777777" w:rsidR="00A768F4" w:rsidRPr="00761061" w:rsidRDefault="00A768F4" w:rsidP="00A768F4">
      <w:r w:rsidRPr="00761061">
        <w:t xml:space="preserve">Hurrelmann, Klaus, und Ullrich Bauer. 2015. </w:t>
      </w:r>
      <w:r w:rsidRPr="00761061">
        <w:rPr>
          <w:i/>
          <w:iCs/>
        </w:rPr>
        <w:t>Einführung in die Sozialisationstheorie: Das Modell der produktiven Realitätsverarbeitung</w:t>
      </w:r>
      <w:r w:rsidRPr="00761061">
        <w:t>. 11. Auflage. Beltz.</w:t>
      </w:r>
    </w:p>
    <w:p w14:paraId="1F3DF5E9" w14:textId="77777777" w:rsidR="00A768F4" w:rsidRPr="00761061" w:rsidRDefault="00A768F4" w:rsidP="00A768F4">
      <w:r w:rsidRPr="00761061">
        <w:rPr>
          <w:i/>
          <w:iCs/>
        </w:rPr>
        <w:t>ICF CHURCH</w:t>
      </w:r>
      <w:r w:rsidRPr="00761061">
        <w:t>. 2025. Zugegriffen: 01. Dezember 2025. https://www.icf.church/de/.</w:t>
      </w:r>
    </w:p>
    <w:p w14:paraId="270FA711" w14:textId="77777777" w:rsidR="00A768F4" w:rsidRPr="00761061" w:rsidRDefault="00A768F4" w:rsidP="00A768F4">
      <w:r w:rsidRPr="00761061">
        <w:t xml:space="preserve">Karle, Isolde, und Michael Domsgen. 2023. </w:t>
      </w:r>
      <w:r w:rsidRPr="00761061">
        <w:rPr>
          <w:i/>
          <w:iCs/>
        </w:rPr>
        <w:t>Praktische Theologie: Studienausgabe</w:t>
      </w:r>
      <w:r w:rsidRPr="00761061">
        <w:t>. Lehrwerk Evangelische Theologie (LETh), Band 7. Evangelische Verlagsanstalt.</w:t>
      </w:r>
    </w:p>
    <w:p w14:paraId="1E88EC3A" w14:textId="77777777" w:rsidR="00A768F4" w:rsidRPr="00761061" w:rsidRDefault="00A768F4" w:rsidP="00A768F4">
      <w:pPr>
        <w:rPr>
          <w:lang w:val="en-US"/>
        </w:rPr>
      </w:pPr>
      <w:r w:rsidRPr="00761061">
        <w:t xml:space="preserve">Kay, William K., und Ann E. Dyer. 2011. </w:t>
      </w:r>
      <w:r w:rsidRPr="005E00B3">
        <w:rPr>
          <w:i/>
          <w:iCs/>
        </w:rPr>
        <w:t>European Pentecostalism</w:t>
      </w:r>
      <w:r w:rsidRPr="005E00B3">
        <w:t xml:space="preserve">. </w:t>
      </w:r>
      <w:r w:rsidRPr="00761061">
        <w:rPr>
          <w:lang w:val="en-US"/>
        </w:rPr>
        <w:t>Global Pentecostal and Charismatic Studies, Volume 7. Brill.</w:t>
      </w:r>
    </w:p>
    <w:p w14:paraId="05DB37A1" w14:textId="77777777" w:rsidR="00A768F4" w:rsidRPr="005E00B3" w:rsidRDefault="00A768F4" w:rsidP="00A768F4">
      <w:r w:rsidRPr="00761061">
        <w:rPr>
          <w:lang w:val="en-US"/>
        </w:rPr>
        <w:t xml:space="preserve">Kellich, Rahel. 2023. „Doubt in religious fundamentalism: Education between authority and rational </w:t>
      </w:r>
      <w:proofErr w:type="gramStart"/>
      <w:r w:rsidRPr="00761061">
        <w:rPr>
          <w:lang w:val="en-US"/>
        </w:rPr>
        <w:t>autonomy“</w:t>
      </w:r>
      <w:proofErr w:type="gramEnd"/>
      <w:r w:rsidRPr="00761061">
        <w:rPr>
          <w:lang w:val="en-US"/>
        </w:rPr>
        <w:t xml:space="preserve">. </w:t>
      </w:r>
      <w:r w:rsidRPr="005E00B3">
        <w:rPr>
          <w:i/>
          <w:iCs/>
        </w:rPr>
        <w:t>Education and New Developments 2023</w:t>
      </w:r>
      <w:r w:rsidRPr="005E00B3">
        <w:t xml:space="preserve"> 1: 216-20.</w:t>
      </w:r>
    </w:p>
    <w:p w14:paraId="45F1C4B3" w14:textId="77777777" w:rsidR="00A768F4" w:rsidRPr="00761061" w:rsidRDefault="00A768F4" w:rsidP="00A768F4">
      <w:r w:rsidRPr="005E00B3">
        <w:t xml:space="preserve">Kick, Annette, und Hansjörg Hemminger. 2020. </w:t>
      </w:r>
      <w:r w:rsidRPr="00761061">
        <w:rPr>
          <w:i/>
          <w:iCs/>
        </w:rPr>
        <w:t>Unabhängige Gemeinden neben Kirchen und Freikirchen</w:t>
      </w:r>
      <w:r w:rsidRPr="00761061">
        <w:t>. EZW-Texte 265. Evangelische Zentralstelle für Weltanschauungsfragen.</w:t>
      </w:r>
    </w:p>
    <w:p w14:paraId="6713DD1E" w14:textId="77777777" w:rsidR="00A768F4" w:rsidRPr="00761061" w:rsidRDefault="00A768F4" w:rsidP="00A768F4">
      <w:pPr>
        <w:rPr>
          <w:lang w:val="nl-NL"/>
        </w:rPr>
      </w:pPr>
      <w:r w:rsidRPr="00761061">
        <w:t xml:space="preserve">Kindermann, Nora Noemi. 2025. „FUNDAMENTALISM - The Usefulness of a Contested Concept“. </w:t>
      </w:r>
      <w:r w:rsidRPr="00761061">
        <w:rPr>
          <w:lang w:val="nl-NL"/>
        </w:rPr>
        <w:t>PhD, Vrije Universiteit Amsterdam. https://doi.org/10.5463/thesis.1263.</w:t>
      </w:r>
    </w:p>
    <w:p w14:paraId="0016BCCA" w14:textId="77777777" w:rsidR="00A768F4" w:rsidRPr="00761061" w:rsidRDefault="00A768F4" w:rsidP="00A768F4">
      <w:r w:rsidRPr="00761061">
        <w:rPr>
          <w:lang w:val="nl-NL"/>
        </w:rPr>
        <w:t xml:space="preserve">Knipping-Sorokin, Roman, und Teresa Stumpf. </w:t>
      </w:r>
      <w:r w:rsidRPr="00761061">
        <w:t xml:space="preserve">2018. „Radikal Online - Das Internet und die Radikalisierung von Jugendlichen: eine Metaanalyse zum Forschungsfeld“. </w:t>
      </w:r>
      <w:r w:rsidRPr="00761061">
        <w:rPr>
          <w:i/>
          <w:iCs/>
        </w:rPr>
        <w:t>kommunikation@gesellschaft</w:t>
      </w:r>
      <w:r w:rsidRPr="00761061">
        <w:t xml:space="preserve"> 19 (14): 1-29.</w:t>
      </w:r>
    </w:p>
    <w:p w14:paraId="035552A6" w14:textId="77777777" w:rsidR="00A768F4" w:rsidRPr="00761061" w:rsidRDefault="00A768F4" w:rsidP="00A768F4">
      <w:r w:rsidRPr="00761061">
        <w:t xml:space="preserve">Korucu, Canan. 2025. „Antifeministische und LGBTIQ*-feindliche Narrative in islamistischen Online-Inhalten und ihre Wirkung auf Jugendliche“. Bundeszentrale für Kinder- und Jugendmedienschutz </w:t>
      </w:r>
      <w:r w:rsidRPr="00761061">
        <w:rPr>
          <w:i/>
          <w:iCs/>
        </w:rPr>
        <w:t>BZKJAKTUELL</w:t>
      </w:r>
      <w:r w:rsidRPr="00761061">
        <w:t xml:space="preserve"> 2025 (3): 11-15.</w:t>
      </w:r>
    </w:p>
    <w:p w14:paraId="7B5065CC" w14:textId="77777777" w:rsidR="00A768F4" w:rsidRPr="00761061" w:rsidRDefault="00A768F4" w:rsidP="00A768F4">
      <w:r w:rsidRPr="00761061">
        <w:t xml:space="preserve">Kost, Julia F., und Christof Seeger. 2020. </w:t>
      </w:r>
      <w:r w:rsidRPr="00761061">
        <w:rPr>
          <w:i/>
          <w:iCs/>
        </w:rPr>
        <w:t>Influencer Marketing: Grundlagen, Strategie und Management</w:t>
      </w:r>
      <w:r w:rsidRPr="00761061">
        <w:t>. 2., Überarbeitete und Erweiterte Auflage. UTB 5076. UTB GmbH. https://doi.org/10.36198/9783838553108.</w:t>
      </w:r>
    </w:p>
    <w:p w14:paraId="565E3325" w14:textId="77777777" w:rsidR="00A768F4" w:rsidRPr="00761061" w:rsidRDefault="00A768F4" w:rsidP="00A768F4">
      <w:r w:rsidRPr="00761061">
        <w:rPr>
          <w:lang w:val="en-US"/>
        </w:rPr>
        <w:lastRenderedPageBreak/>
        <w:t xml:space="preserve">Krüger, J S. 2006. „Religious fundamentalism: Aspects of a comparative framework of </w:t>
      </w:r>
      <w:proofErr w:type="gramStart"/>
      <w:r w:rsidRPr="00761061">
        <w:rPr>
          <w:lang w:val="en-US"/>
        </w:rPr>
        <w:t>understanding“</w:t>
      </w:r>
      <w:proofErr w:type="gramEnd"/>
      <w:r w:rsidRPr="00761061">
        <w:rPr>
          <w:lang w:val="en-US"/>
        </w:rPr>
        <w:t xml:space="preserve">. </w:t>
      </w:r>
      <w:r w:rsidRPr="00761061">
        <w:rPr>
          <w:i/>
          <w:iCs/>
        </w:rPr>
        <w:t>Verbum et Ecclesia</w:t>
      </w:r>
      <w:r w:rsidRPr="00761061">
        <w:t xml:space="preserve"> 27 (3): 886-908. https://doi.org/10.4102/ve.v27i3.192.</w:t>
      </w:r>
    </w:p>
    <w:p w14:paraId="76DCF9C4" w14:textId="77777777" w:rsidR="00A768F4" w:rsidRPr="00761061" w:rsidRDefault="00A768F4" w:rsidP="00A768F4">
      <w:r w:rsidRPr="00761061">
        <w:t xml:space="preserve">Linder, Jule. 2025. </w:t>
      </w:r>
      <w:r w:rsidRPr="00761061">
        <w:rPr>
          <w:i/>
          <w:iCs/>
        </w:rPr>
        <w:t>Zur Vereinbarkeit von christlich-fundamentalistischen Weltanschauungen und professioneller Sozialer Arbeit - eine Praxisperspektive</w:t>
      </w:r>
      <w:r w:rsidRPr="00761061">
        <w:t>. Jahresbericht 2024. Sekten Info NRW e.V. Zugegriffen: 01. Dezember 2025. https://sekten-info-nrw.de/information/artikel/fundamentalismus/zur-vereinbarkeit-von-christlich-fundamentalistischen-weltanschauungen-und-professioneller-sozialer-arbeit---eine-praxisperspektive.</w:t>
      </w:r>
    </w:p>
    <w:p w14:paraId="1666C08D" w14:textId="77777777" w:rsidR="00A768F4" w:rsidRPr="00761061" w:rsidRDefault="00A768F4" w:rsidP="00A768F4">
      <w:r w:rsidRPr="00761061">
        <w:t xml:space="preserve">Lutz, Ronald, und Doron Kiesel, Hrsg. 2022. </w:t>
      </w:r>
      <w:r w:rsidRPr="00761061">
        <w:rPr>
          <w:i/>
          <w:iCs/>
        </w:rPr>
        <w:t>Sozialarbeit und Religion: Herausforderungen und Antworten</w:t>
      </w:r>
      <w:r w:rsidRPr="00761061">
        <w:t xml:space="preserve">. 2., </w:t>
      </w:r>
      <w:proofErr w:type="gramStart"/>
      <w:r w:rsidRPr="00761061">
        <w:t>Vollständig</w:t>
      </w:r>
      <w:proofErr w:type="gramEnd"/>
      <w:r w:rsidRPr="00761061">
        <w:t xml:space="preserve"> überarbeitete und Erweiterte Auflage. Grundlagentexte Soziale Berufe. Beltz Juventa.</w:t>
      </w:r>
    </w:p>
    <w:p w14:paraId="7EF5ADDF" w14:textId="77777777" w:rsidR="00A768F4" w:rsidRPr="00761061" w:rsidRDefault="00A768F4" w:rsidP="00A768F4">
      <w:pPr>
        <w:rPr>
          <w:lang w:val="en-US"/>
        </w:rPr>
      </w:pPr>
      <w:r w:rsidRPr="00761061">
        <w:rPr>
          <w:lang w:val="en-US"/>
        </w:rPr>
        <w:t xml:space="preserve">Marty, Martin E., R. Scott Appleby, und Emmanuel Sivan. 1995. </w:t>
      </w:r>
      <w:r w:rsidRPr="00761061">
        <w:rPr>
          <w:i/>
          <w:iCs/>
          <w:lang w:val="en-US"/>
        </w:rPr>
        <w:t>Fundamentalisms Comprehended</w:t>
      </w:r>
      <w:r w:rsidRPr="00761061">
        <w:rPr>
          <w:lang w:val="en-US"/>
        </w:rPr>
        <w:t xml:space="preserve">. With American academy of arts and sciences. </w:t>
      </w:r>
      <w:proofErr w:type="gramStart"/>
      <w:r w:rsidRPr="00761061">
        <w:rPr>
          <w:lang w:val="en-US"/>
        </w:rPr>
        <w:t>The Fundamentalism</w:t>
      </w:r>
      <w:proofErr w:type="gramEnd"/>
      <w:r w:rsidRPr="00761061">
        <w:rPr>
          <w:lang w:val="en-US"/>
        </w:rPr>
        <w:t xml:space="preserve"> Project 5. University of Chicago Press.</w:t>
      </w:r>
    </w:p>
    <w:p w14:paraId="321C3D3F" w14:textId="77777777" w:rsidR="00A768F4" w:rsidRPr="00761061" w:rsidRDefault="00A768F4" w:rsidP="00A768F4">
      <w:pPr>
        <w:rPr>
          <w:lang w:val="en-US"/>
        </w:rPr>
      </w:pPr>
      <w:r w:rsidRPr="00761061">
        <w:rPr>
          <w:lang w:val="en-US"/>
        </w:rPr>
        <w:t xml:space="preserve">Missier, Clyde. 2022. „Fundamentalism and the search for meaning in digital media among Gen Y and Gen </w:t>
      </w:r>
      <w:proofErr w:type="gramStart"/>
      <w:r w:rsidRPr="00761061">
        <w:rPr>
          <w:lang w:val="en-US"/>
        </w:rPr>
        <w:t xml:space="preserve">Z.“ </w:t>
      </w:r>
      <w:r w:rsidRPr="00761061">
        <w:rPr>
          <w:i/>
          <w:iCs/>
          <w:lang w:val="en-US"/>
        </w:rPr>
        <w:t>Journal</w:t>
      </w:r>
      <w:proofErr w:type="gramEnd"/>
      <w:r w:rsidRPr="00761061">
        <w:rPr>
          <w:i/>
          <w:iCs/>
          <w:lang w:val="en-US"/>
        </w:rPr>
        <w:t xml:space="preserve"> for Deradicalization</w:t>
      </w:r>
      <w:r w:rsidRPr="00761061">
        <w:rPr>
          <w:lang w:val="en-US"/>
        </w:rPr>
        <w:t xml:space="preserve"> 33: 255-85.</w:t>
      </w:r>
    </w:p>
    <w:p w14:paraId="00666FD5" w14:textId="77777777" w:rsidR="00A768F4" w:rsidRPr="00A77730" w:rsidRDefault="00A768F4" w:rsidP="00A768F4">
      <w:pPr>
        <w:rPr>
          <w:lang w:val="en-GB"/>
        </w:rPr>
      </w:pPr>
      <w:r w:rsidRPr="00761061">
        <w:t xml:space="preserve">Müller, Julia. 2023. </w:t>
      </w:r>
      <w:r w:rsidRPr="00761061">
        <w:rPr>
          <w:i/>
          <w:iCs/>
        </w:rPr>
        <w:t>#</w:t>
      </w:r>
      <w:proofErr w:type="gramStart"/>
      <w:r w:rsidRPr="00761061">
        <w:rPr>
          <w:i/>
          <w:iCs/>
        </w:rPr>
        <w:t>Follow</w:t>
      </w:r>
      <w:proofErr w:type="gramEnd"/>
      <w:r w:rsidRPr="00761061">
        <w:rPr>
          <w:i/>
          <w:iCs/>
        </w:rPr>
        <w:t xml:space="preserve"> Jesus – Wie </w:t>
      </w:r>
      <w:proofErr w:type="gramStart"/>
      <w:r w:rsidRPr="00761061">
        <w:rPr>
          <w:i/>
          <w:iCs/>
        </w:rPr>
        <w:t>Christfluencer:innen</w:t>
      </w:r>
      <w:proofErr w:type="gramEnd"/>
      <w:r w:rsidRPr="00761061">
        <w:rPr>
          <w:i/>
          <w:iCs/>
        </w:rPr>
        <w:t xml:space="preserve"> auf sozialen Medien wahrgenommen werden; Das Phänomen </w:t>
      </w:r>
      <w:proofErr w:type="gramStart"/>
      <w:r w:rsidRPr="00761061">
        <w:rPr>
          <w:i/>
          <w:iCs/>
        </w:rPr>
        <w:t>Christfluencer:innen</w:t>
      </w:r>
      <w:proofErr w:type="gramEnd"/>
      <w:r w:rsidRPr="00761061">
        <w:t xml:space="preserve">. </w:t>
      </w:r>
      <w:r w:rsidRPr="00A77730">
        <w:rPr>
          <w:lang w:val="en-GB"/>
        </w:rPr>
        <w:t>Universität Zürich.</w:t>
      </w:r>
    </w:p>
    <w:p w14:paraId="74DCFEF7" w14:textId="77777777" w:rsidR="00A768F4" w:rsidRPr="00761061" w:rsidRDefault="00A768F4" w:rsidP="00A768F4">
      <w:pPr>
        <w:rPr>
          <w:lang w:val="en-US"/>
        </w:rPr>
      </w:pPr>
      <w:r w:rsidRPr="00A77730">
        <w:rPr>
          <w:lang w:val="en-GB"/>
        </w:rPr>
        <w:t xml:space="preserve">Nalani, Andrew, und Hirokazu Yoshikawa. </w:t>
      </w:r>
      <w:r w:rsidRPr="005E00B3">
        <w:rPr>
          <w:lang w:val="en-GB"/>
        </w:rPr>
        <w:t xml:space="preserve">2023. </w:t>
      </w:r>
      <w:r w:rsidRPr="00761061">
        <w:rPr>
          <w:lang w:val="en-US"/>
        </w:rPr>
        <w:t xml:space="preserve">„White Christian Nationalism and Youth Development in the USA“. </w:t>
      </w:r>
      <w:r w:rsidRPr="00761061">
        <w:rPr>
          <w:i/>
          <w:iCs/>
          <w:lang w:val="en-US"/>
        </w:rPr>
        <w:t>Society</w:t>
      </w:r>
      <w:r w:rsidRPr="00761061">
        <w:rPr>
          <w:lang w:val="en-US"/>
        </w:rPr>
        <w:t xml:space="preserve"> 60 (4): 551-65. https://doi.org/10.1007/s12115-023-00863-8.</w:t>
      </w:r>
    </w:p>
    <w:p w14:paraId="5D2E3999" w14:textId="77777777" w:rsidR="00A768F4" w:rsidRPr="00761061" w:rsidRDefault="00A768F4" w:rsidP="00A768F4">
      <w:pPr>
        <w:rPr>
          <w:lang w:val="en-US"/>
        </w:rPr>
      </w:pPr>
      <w:r w:rsidRPr="00761061">
        <w:rPr>
          <w:lang w:val="en-US"/>
        </w:rPr>
        <w:t xml:space="preserve">Ozzano, Luca. 2009. „RELIGIOUS FUNDAMENTALISM AND </w:t>
      </w:r>
      <w:proofErr w:type="gramStart"/>
      <w:r w:rsidRPr="00761061">
        <w:rPr>
          <w:lang w:val="en-US"/>
        </w:rPr>
        <w:t>DEMOCRACY“</w:t>
      </w:r>
      <w:proofErr w:type="gramEnd"/>
      <w:r w:rsidRPr="00761061">
        <w:rPr>
          <w:lang w:val="en-US"/>
        </w:rPr>
        <w:t xml:space="preserve">. </w:t>
      </w:r>
      <w:r w:rsidRPr="00761061">
        <w:rPr>
          <w:i/>
          <w:iCs/>
          <w:lang w:val="en-US"/>
        </w:rPr>
        <w:t>POLITICS AND RELIGION JOURNAL</w:t>
      </w:r>
      <w:r w:rsidRPr="00761061">
        <w:rPr>
          <w:lang w:val="en-US"/>
        </w:rPr>
        <w:t xml:space="preserve"> 3 (1): 127–53. https://doi.org/10.54561/prj0301127o.</w:t>
      </w:r>
    </w:p>
    <w:p w14:paraId="51649226" w14:textId="77777777" w:rsidR="00A768F4" w:rsidRPr="00761061" w:rsidRDefault="00A768F4" w:rsidP="00A768F4">
      <w:pPr>
        <w:rPr>
          <w:lang w:val="en-US"/>
        </w:rPr>
      </w:pPr>
      <w:r w:rsidRPr="00761061">
        <w:rPr>
          <w:lang w:val="en-US"/>
        </w:rPr>
        <w:t>Peels, Rik. 2023. „On Defining ‘Fundamentalism</w:t>
      </w:r>
      <w:proofErr w:type="gramStart"/>
      <w:r w:rsidRPr="00761061">
        <w:rPr>
          <w:lang w:val="en-US"/>
        </w:rPr>
        <w:t>’“</w:t>
      </w:r>
      <w:proofErr w:type="gramEnd"/>
      <w:r w:rsidRPr="00761061">
        <w:rPr>
          <w:lang w:val="en-US"/>
        </w:rPr>
        <w:t xml:space="preserve">. </w:t>
      </w:r>
      <w:r w:rsidRPr="00761061">
        <w:rPr>
          <w:i/>
          <w:iCs/>
          <w:lang w:val="en-US"/>
        </w:rPr>
        <w:t>Religious Studies</w:t>
      </w:r>
      <w:r w:rsidRPr="00761061">
        <w:rPr>
          <w:lang w:val="en-US"/>
        </w:rPr>
        <w:t xml:space="preserve"> 59 (4): 729-47. https://doi.org/10.1017/S0034412522000683.</w:t>
      </w:r>
    </w:p>
    <w:p w14:paraId="1A47A768" w14:textId="77777777" w:rsidR="00A768F4" w:rsidRPr="00761061" w:rsidRDefault="00A768F4" w:rsidP="00A768F4">
      <w:pPr>
        <w:rPr>
          <w:lang w:val="en-US"/>
        </w:rPr>
      </w:pPr>
      <w:r w:rsidRPr="00761061">
        <w:t xml:space="preserve">Peels, Rik, und Nora Kindermann. </w:t>
      </w:r>
      <w:r w:rsidRPr="00761061">
        <w:rPr>
          <w:lang w:val="en-US"/>
        </w:rPr>
        <w:t xml:space="preserve">2024. „What Are Fundamentalist </w:t>
      </w:r>
      <w:proofErr w:type="gramStart"/>
      <w:r w:rsidRPr="00761061">
        <w:rPr>
          <w:lang w:val="en-US"/>
        </w:rPr>
        <w:t>Beliefs?“</w:t>
      </w:r>
      <w:proofErr w:type="gramEnd"/>
      <w:r w:rsidRPr="00761061">
        <w:rPr>
          <w:lang w:val="en-US"/>
        </w:rPr>
        <w:t xml:space="preserve"> </w:t>
      </w:r>
      <w:r w:rsidRPr="00761061">
        <w:rPr>
          <w:i/>
          <w:iCs/>
          <w:lang w:val="en-US"/>
        </w:rPr>
        <w:t>Journal of Political Ideologies</w:t>
      </w:r>
      <w:r w:rsidRPr="00761061">
        <w:rPr>
          <w:lang w:val="en-US"/>
        </w:rPr>
        <w:t xml:space="preserve"> 29 (3): 492-512. https://doi.org/10.1080/13569317.2022.2138294.</w:t>
      </w:r>
    </w:p>
    <w:p w14:paraId="49EDEDF6" w14:textId="77777777" w:rsidR="00A768F4" w:rsidRPr="00761061" w:rsidRDefault="00A768F4" w:rsidP="00A768F4">
      <w:pPr>
        <w:rPr>
          <w:lang w:val="en-US"/>
        </w:rPr>
      </w:pPr>
      <w:r w:rsidRPr="00761061">
        <w:rPr>
          <w:lang w:val="en-US"/>
        </w:rPr>
        <w:t xml:space="preserve">Perry, Samuel L., Andrew L. Whitehead, und Joshua B. Grubbs. 2022. „The Devil That You Know: Christian Nationalism and Intent to Change One’s Voting Behavior </w:t>
      </w:r>
      <w:proofErr w:type="gramStart"/>
      <w:r w:rsidRPr="00761061">
        <w:rPr>
          <w:lang w:val="en-US"/>
        </w:rPr>
        <w:t>For</w:t>
      </w:r>
      <w:proofErr w:type="gramEnd"/>
      <w:r w:rsidRPr="00761061">
        <w:rPr>
          <w:lang w:val="en-US"/>
        </w:rPr>
        <w:t xml:space="preserve"> or Against Trump in 2020“. </w:t>
      </w:r>
      <w:r w:rsidRPr="00761061">
        <w:rPr>
          <w:i/>
          <w:iCs/>
          <w:lang w:val="en-US"/>
        </w:rPr>
        <w:t>Politics and Religion</w:t>
      </w:r>
      <w:r w:rsidRPr="00761061">
        <w:rPr>
          <w:lang w:val="en-US"/>
        </w:rPr>
        <w:t xml:space="preserve"> 15 (2): 229-46. https://doi.org/10.1017/S175504832100002X.</w:t>
      </w:r>
    </w:p>
    <w:p w14:paraId="47CEE483" w14:textId="77777777" w:rsidR="00A768F4" w:rsidRPr="00761061" w:rsidRDefault="00A768F4" w:rsidP="00A768F4">
      <w:pPr>
        <w:rPr>
          <w:lang w:val="en-US"/>
        </w:rPr>
      </w:pPr>
      <w:r w:rsidRPr="00761061">
        <w:rPr>
          <w:lang w:val="en-US"/>
        </w:rPr>
        <w:t xml:space="preserve">Pew Research Center. 2025. „2023-24 U.S. Religious Landscape Study Interactive </w:t>
      </w:r>
      <w:proofErr w:type="gramStart"/>
      <w:r w:rsidRPr="00761061">
        <w:rPr>
          <w:lang w:val="en-US"/>
        </w:rPr>
        <w:t>Database“</w:t>
      </w:r>
      <w:proofErr w:type="gramEnd"/>
      <w:r w:rsidRPr="00761061">
        <w:rPr>
          <w:lang w:val="en-US"/>
        </w:rPr>
        <w:t>. Preprint, Pew Research Center. Text/html. https://doi.org/10.58094/3ZS9-JC14.</w:t>
      </w:r>
    </w:p>
    <w:p w14:paraId="67214FE0" w14:textId="77777777" w:rsidR="00A768F4" w:rsidRPr="00761061" w:rsidRDefault="00A768F4" w:rsidP="00A768F4">
      <w:r w:rsidRPr="00761061">
        <w:t xml:space="preserve">Pohl, Sarah. 2024. Heiliger Schein? Herausforderungen und Kontroversen rund um Christfluencer*innen. </w:t>
      </w:r>
      <w:proofErr w:type="gramStart"/>
      <w:r w:rsidRPr="00761061">
        <w:t>KN:IX</w:t>
      </w:r>
      <w:proofErr w:type="gramEnd"/>
      <w:r w:rsidRPr="00761061">
        <w:t>. Bundesarbeitsgemeinschaft religiös begründeter Extremismus e. V..</w:t>
      </w:r>
    </w:p>
    <w:p w14:paraId="04023FDC" w14:textId="77777777" w:rsidR="00A768F4" w:rsidRPr="00761061" w:rsidRDefault="00A768F4" w:rsidP="00A768F4">
      <w:r w:rsidRPr="00761061">
        <w:t xml:space="preserve">Rebenstorf, Hilke. 2018. „‚Rechte‘ Christen? – Empirische Analysen zur Affinität christlich-religiöser und rechtspopulistischer Positionen“. </w:t>
      </w:r>
      <w:r w:rsidRPr="00761061">
        <w:rPr>
          <w:i/>
          <w:iCs/>
        </w:rPr>
        <w:t>Zeitschrift für Religion, Gesellschaft und Politik</w:t>
      </w:r>
      <w:r w:rsidRPr="00761061">
        <w:t xml:space="preserve"> 2 (2): 313-33. https://doi.org/10.1007/s41682-018-0024-z.</w:t>
      </w:r>
    </w:p>
    <w:p w14:paraId="65589B95" w14:textId="77777777" w:rsidR="00A768F4" w:rsidRPr="00761061" w:rsidRDefault="00A768F4" w:rsidP="00A768F4">
      <w:r w:rsidRPr="00761061">
        <w:rPr>
          <w:i/>
          <w:iCs/>
          <w:lang w:val="en-US"/>
        </w:rPr>
        <w:t>Religion and the 2024 Presidential Election</w:t>
      </w:r>
      <w:r w:rsidRPr="00761061">
        <w:rPr>
          <w:lang w:val="en-US"/>
        </w:rPr>
        <w:t xml:space="preserve">. </w:t>
      </w:r>
      <w:r w:rsidRPr="00761061">
        <w:t>2025. PRRI. Zugegriffen: 01. Dezember 2025. https://prri.org/spotlight/religion-and-the-2024-presidential-election/.</w:t>
      </w:r>
    </w:p>
    <w:p w14:paraId="135599F8" w14:textId="77777777" w:rsidR="00A768F4" w:rsidRPr="00761061" w:rsidRDefault="00A768F4" w:rsidP="00A768F4">
      <w:pPr>
        <w:rPr>
          <w:lang w:val="en-US"/>
        </w:rPr>
      </w:pPr>
      <w:r w:rsidRPr="00761061">
        <w:rPr>
          <w:lang w:val="en-US"/>
        </w:rPr>
        <w:lastRenderedPageBreak/>
        <w:t xml:space="preserve">Riesebrodt, Martin. 1998. </w:t>
      </w:r>
      <w:r w:rsidRPr="00761061">
        <w:rPr>
          <w:i/>
          <w:iCs/>
          <w:lang w:val="en-US"/>
        </w:rPr>
        <w:t>Pious Passion: The Emergence of Modern Fundamentalism in the United States and Iran</w:t>
      </w:r>
      <w:r w:rsidRPr="00761061">
        <w:rPr>
          <w:lang w:val="en-US"/>
        </w:rPr>
        <w:t>. Übersetzt von Don Reneau. Comparative Studies in Religion and Society 6. Berkeley Los Angeles London University of California Press.</w:t>
      </w:r>
    </w:p>
    <w:p w14:paraId="560075B7" w14:textId="77777777" w:rsidR="00A768F4" w:rsidRPr="00761061" w:rsidRDefault="00A768F4" w:rsidP="00A768F4">
      <w:r w:rsidRPr="00761061">
        <w:t xml:space="preserve">Rudolphi, Daniel. 2023. „Der Staat als ‚Tyrann‘ – Kirche und Staat im rechten Christentum“. </w:t>
      </w:r>
      <w:r w:rsidRPr="00761061">
        <w:rPr>
          <w:i/>
          <w:iCs/>
        </w:rPr>
        <w:t>Zeitschrift für Religion und Weltanschauung (ZRW)</w:t>
      </w:r>
      <w:r w:rsidRPr="00761061">
        <w:t xml:space="preserve"> 86 (5): 359-75. https://doi.org/10.5771/0721-2402-2023-5-359.</w:t>
      </w:r>
    </w:p>
    <w:p w14:paraId="6AB0D747" w14:textId="77777777" w:rsidR="00A768F4" w:rsidRPr="005E00B3" w:rsidRDefault="00A768F4" w:rsidP="00A768F4">
      <w:pPr>
        <w:rPr>
          <w:lang w:val="en-GB"/>
        </w:rPr>
      </w:pPr>
      <w:r w:rsidRPr="00761061">
        <w:t xml:space="preserve">Ruyter, Doret De. 2001. </w:t>
      </w:r>
      <w:r w:rsidRPr="00761061">
        <w:rPr>
          <w:lang w:val="en-US"/>
        </w:rPr>
        <w:t xml:space="preserve">„FUNDAMENTALIST EDUCATION: A CRITICAL ANALYSIS“. </w:t>
      </w:r>
      <w:r w:rsidRPr="005E00B3">
        <w:rPr>
          <w:i/>
          <w:lang w:val="en-GB"/>
        </w:rPr>
        <w:t>Religious Education</w:t>
      </w:r>
      <w:r w:rsidRPr="005E00B3">
        <w:rPr>
          <w:lang w:val="en-GB"/>
        </w:rPr>
        <w:t xml:space="preserve"> 96 (2): 193–210. https://doi.org/10.1080/00344080152472352.</w:t>
      </w:r>
    </w:p>
    <w:p w14:paraId="1D3FAAEB" w14:textId="77777777" w:rsidR="00A768F4" w:rsidRPr="00F30AC6" w:rsidRDefault="00A768F4" w:rsidP="00A768F4">
      <w:r w:rsidRPr="00761061">
        <w:t xml:space="preserve">Sachs, Linda. 2025. „‚Für das Leben!‘ – Deckmantel </w:t>
      </w:r>
      <w:proofErr w:type="gramStart"/>
      <w:r w:rsidRPr="00761061">
        <w:t>extrem rechter</w:t>
      </w:r>
      <w:proofErr w:type="gramEnd"/>
      <w:r w:rsidRPr="00761061">
        <w:t xml:space="preserve"> Ideologie? Die ‚Lebensschutz‘-Bewegung und ihr Verhältnis zum Rechtsextremismus. Eine Analyse der Reden des Münchner Marsch fürs Leben“. </w:t>
      </w:r>
      <w:r w:rsidRPr="00F30AC6">
        <w:rPr>
          <w:i/>
          <w:iCs/>
        </w:rPr>
        <w:t>ZRex – Zeitschrift für Rechtsextremismusforschung</w:t>
      </w:r>
      <w:r w:rsidRPr="00F30AC6">
        <w:t xml:space="preserve"> 5 (2–2025): 220. https://doi.org/10.3224/zrex.v5i2.04.</w:t>
      </w:r>
    </w:p>
    <w:p w14:paraId="2E8CB0F8" w14:textId="77777777" w:rsidR="00A768F4" w:rsidRPr="00761061" w:rsidRDefault="00A768F4" w:rsidP="00A768F4">
      <w:pPr>
        <w:rPr>
          <w:lang w:val="en-US"/>
        </w:rPr>
      </w:pPr>
      <w:r w:rsidRPr="00F30AC6">
        <w:t xml:space="preserve">Schönert, Marilen. </w:t>
      </w:r>
      <w:r w:rsidRPr="00FD3665">
        <w:rPr>
          <w:lang w:val="en-GB"/>
        </w:rPr>
        <w:t xml:space="preserve">2023. „WONDERING AND GRADING IN HIGHER EDUCATION – A TENSION RATIO?“ </w:t>
      </w:r>
      <w:r>
        <w:rPr>
          <w:i/>
          <w:iCs/>
          <w:lang w:val="en-US"/>
        </w:rPr>
        <w:t>I</w:t>
      </w:r>
      <w:r w:rsidRPr="00761061">
        <w:rPr>
          <w:i/>
          <w:iCs/>
          <w:lang w:val="en-US"/>
        </w:rPr>
        <w:t>nternational Conference on Education and New Developments END</w:t>
      </w:r>
      <w:r w:rsidRPr="00761061">
        <w:rPr>
          <w:lang w:val="en-US"/>
        </w:rPr>
        <w:t xml:space="preserve"> 2: 8</w:t>
      </w:r>
      <w:r>
        <w:rPr>
          <w:lang w:val="en-US"/>
        </w:rPr>
        <w:t>-</w:t>
      </w:r>
      <w:r w:rsidRPr="00761061">
        <w:rPr>
          <w:lang w:val="en-US"/>
        </w:rPr>
        <w:t>12.</w:t>
      </w:r>
    </w:p>
    <w:p w14:paraId="666DEB64" w14:textId="77777777" w:rsidR="00A768F4" w:rsidRPr="00761061" w:rsidRDefault="00A768F4" w:rsidP="00A768F4">
      <w:pPr>
        <w:rPr>
          <w:lang w:val="en-US"/>
        </w:rPr>
      </w:pPr>
      <w:r w:rsidRPr="00761061">
        <w:rPr>
          <w:lang w:val="en-US"/>
        </w:rPr>
        <w:t xml:space="preserve">Scott, Kate, und Lindsay Day. 2025. „TikTok Tradwives: Femininity, Reproduction, and Social </w:t>
      </w:r>
      <w:proofErr w:type="gramStart"/>
      <w:r w:rsidRPr="00761061">
        <w:rPr>
          <w:lang w:val="en-US"/>
        </w:rPr>
        <w:t>Media“</w:t>
      </w:r>
      <w:proofErr w:type="gramEnd"/>
      <w:r w:rsidRPr="00761061">
        <w:rPr>
          <w:lang w:val="en-US"/>
        </w:rPr>
        <w:t xml:space="preserve">. </w:t>
      </w:r>
      <w:r w:rsidRPr="00761061">
        <w:rPr>
          <w:i/>
          <w:iCs/>
          <w:lang w:val="en-US"/>
        </w:rPr>
        <w:t>Gender and Education</w:t>
      </w:r>
      <w:r w:rsidRPr="00761061">
        <w:rPr>
          <w:lang w:val="en-US"/>
        </w:rPr>
        <w:t>, August 19, 1-18. https://doi.org/10.1080/09540253.2025.2546050.</w:t>
      </w:r>
    </w:p>
    <w:p w14:paraId="21EC383E" w14:textId="77777777" w:rsidR="00A768F4" w:rsidRPr="00761061" w:rsidRDefault="00A768F4" w:rsidP="00A768F4">
      <w:pPr>
        <w:rPr>
          <w:lang w:val="en-US"/>
        </w:rPr>
      </w:pPr>
      <w:r w:rsidRPr="00761061">
        <w:rPr>
          <w:lang w:val="en-US"/>
        </w:rPr>
        <w:t xml:space="preserve">Simpson, Carl. 2011. „The Development of the Pentacostal and Charismatic Movements in the Germanic </w:t>
      </w:r>
      <w:proofErr w:type="gramStart"/>
      <w:r w:rsidRPr="00761061">
        <w:rPr>
          <w:lang w:val="en-US"/>
        </w:rPr>
        <w:t>Countries“</w:t>
      </w:r>
      <w:proofErr w:type="gramEnd"/>
      <w:r w:rsidRPr="00761061">
        <w:rPr>
          <w:lang w:val="en-US"/>
        </w:rPr>
        <w:t xml:space="preserve">. In </w:t>
      </w:r>
      <w:r w:rsidRPr="00761061">
        <w:rPr>
          <w:i/>
          <w:iCs/>
          <w:lang w:val="en-US"/>
        </w:rPr>
        <w:t>European Pentecostalism and Charismatic Studies</w:t>
      </w:r>
      <w:r w:rsidRPr="00761061">
        <w:rPr>
          <w:lang w:val="en-US"/>
        </w:rPr>
        <w:t>, herausgegeben von Andrew Davies und William K. Kay. Brill.</w:t>
      </w:r>
    </w:p>
    <w:p w14:paraId="7E365EFD" w14:textId="77777777" w:rsidR="00A768F4" w:rsidRPr="00761061" w:rsidRDefault="00A768F4" w:rsidP="00A768F4">
      <w:pPr>
        <w:rPr>
          <w:lang w:val="en-US"/>
        </w:rPr>
      </w:pPr>
      <w:r w:rsidRPr="00761061">
        <w:rPr>
          <w:lang w:val="en-US"/>
        </w:rPr>
        <w:t xml:space="preserve">Sivan, Emmanuel. 1995. „The Enclave </w:t>
      </w:r>
      <w:proofErr w:type="gramStart"/>
      <w:r w:rsidRPr="00761061">
        <w:rPr>
          <w:lang w:val="en-US"/>
        </w:rPr>
        <w:t>Culture“</w:t>
      </w:r>
      <w:proofErr w:type="gramEnd"/>
      <w:r w:rsidRPr="00761061">
        <w:rPr>
          <w:lang w:val="en-US"/>
        </w:rPr>
        <w:t xml:space="preserve">. In </w:t>
      </w:r>
      <w:r w:rsidRPr="00761061">
        <w:rPr>
          <w:i/>
          <w:iCs/>
          <w:lang w:val="en-US"/>
        </w:rPr>
        <w:t>Fundamentalisms Comprehended, The Fundamentalism Project</w:t>
      </w:r>
      <w:r w:rsidRPr="00761061">
        <w:rPr>
          <w:lang w:val="en-US"/>
        </w:rPr>
        <w:t>, herausgegeben von R. Scott Appleby, und Martin E. Marty. American academy of arts and sciences 5. University of Chicago Press.</w:t>
      </w:r>
    </w:p>
    <w:p w14:paraId="06E70028" w14:textId="77777777" w:rsidR="00A768F4" w:rsidRPr="00761061" w:rsidRDefault="00A768F4" w:rsidP="00A768F4">
      <w:r w:rsidRPr="00F30AC6">
        <w:rPr>
          <w:lang w:val="en-US"/>
        </w:rPr>
        <w:t xml:space="preserve">Six, Clemens, Martin Riesebrodt, und Siegfried Haas, Hrsg. 2005. </w:t>
      </w:r>
      <w:r w:rsidRPr="00761061">
        <w:rPr>
          <w:i/>
          <w:iCs/>
        </w:rPr>
        <w:t>Religiöser Fundamentalismus: vom Kolonialismus zur Globalisierung</w:t>
      </w:r>
      <w:r w:rsidRPr="00761061">
        <w:t>. 2. unveränderte Aufl. Querschnitte: Einführungstexte zur Sozial-, Wirtschafts- und Kulturgeschichte, Bd. 16. StudienVerlag.</w:t>
      </w:r>
    </w:p>
    <w:p w14:paraId="66FDB5E7" w14:textId="77777777" w:rsidR="00A768F4" w:rsidRPr="00761061" w:rsidRDefault="00A768F4" w:rsidP="00A768F4">
      <w:pPr>
        <w:rPr>
          <w:lang w:val="en-US"/>
        </w:rPr>
      </w:pPr>
      <w:r w:rsidRPr="00761061">
        <w:t xml:space="preserve">Stockhausen, Ulrike Elisabeth. 2017. „Evangelikalismus und Politik“. In </w:t>
      </w:r>
      <w:r w:rsidRPr="00761061">
        <w:rPr>
          <w:i/>
          <w:iCs/>
        </w:rPr>
        <w:t>Handbuch Evangelikalismus</w:t>
      </w:r>
      <w:r w:rsidRPr="00761061">
        <w:t xml:space="preserve">, herausgegeben von Frederik Elwert, Martin Radermacher, und Jens Schlamelcher. </w:t>
      </w:r>
      <w:r w:rsidRPr="00761061">
        <w:rPr>
          <w:lang w:val="en-US"/>
        </w:rPr>
        <w:t>Transcript.</w:t>
      </w:r>
    </w:p>
    <w:p w14:paraId="2E3841AD" w14:textId="77777777" w:rsidR="00A768F4" w:rsidRPr="00761061" w:rsidRDefault="00A768F4" w:rsidP="00A768F4">
      <w:pPr>
        <w:rPr>
          <w:lang w:val="en-US"/>
        </w:rPr>
      </w:pPr>
      <w:r w:rsidRPr="00761061">
        <w:rPr>
          <w:lang w:val="en-US"/>
        </w:rPr>
        <w:t xml:space="preserve">Sykes, Sophia, und Veronica Hopner. 2024. „Tradwives: Right-Wing Social Media </w:t>
      </w:r>
      <w:proofErr w:type="gramStart"/>
      <w:r w:rsidRPr="00761061">
        <w:rPr>
          <w:lang w:val="en-US"/>
        </w:rPr>
        <w:t>Influencers“</w:t>
      </w:r>
      <w:proofErr w:type="gramEnd"/>
      <w:r w:rsidRPr="00761061">
        <w:rPr>
          <w:lang w:val="en-US"/>
        </w:rPr>
        <w:t xml:space="preserve">. </w:t>
      </w:r>
      <w:r w:rsidRPr="00761061">
        <w:rPr>
          <w:i/>
          <w:iCs/>
          <w:lang w:val="en-US"/>
        </w:rPr>
        <w:t>Journal of Contemporary Ethnography</w:t>
      </w:r>
      <w:r w:rsidRPr="00761061">
        <w:rPr>
          <w:lang w:val="en-US"/>
        </w:rPr>
        <w:t xml:space="preserve"> 53 (4): 453-87. https://doi.org/10.1177/08912416241246273.</w:t>
      </w:r>
    </w:p>
    <w:p w14:paraId="3F3C4CC2" w14:textId="77777777" w:rsidR="00A768F4" w:rsidRPr="00761061" w:rsidRDefault="00A768F4" w:rsidP="00A768F4">
      <w:pPr>
        <w:rPr>
          <w:lang w:val="en-US"/>
        </w:rPr>
      </w:pPr>
      <w:r w:rsidRPr="00761061">
        <w:rPr>
          <w:lang w:val="en-US"/>
        </w:rPr>
        <w:t xml:space="preserve">Taylor, C. 1995. „Two Theories of </w:t>
      </w:r>
      <w:proofErr w:type="gramStart"/>
      <w:r w:rsidRPr="00761061">
        <w:rPr>
          <w:lang w:val="en-US"/>
        </w:rPr>
        <w:t>Modernity“</w:t>
      </w:r>
      <w:proofErr w:type="gramEnd"/>
      <w:r w:rsidRPr="00761061">
        <w:rPr>
          <w:lang w:val="en-US"/>
        </w:rPr>
        <w:t xml:space="preserve">. </w:t>
      </w:r>
      <w:r w:rsidRPr="00761061">
        <w:rPr>
          <w:i/>
          <w:iCs/>
          <w:lang w:val="en-US"/>
        </w:rPr>
        <w:t>The Hastings Center Report</w:t>
      </w:r>
      <w:r w:rsidRPr="00761061">
        <w:rPr>
          <w:lang w:val="en-US"/>
        </w:rPr>
        <w:t xml:space="preserve"> 25 (2): 24-33.</w:t>
      </w:r>
    </w:p>
    <w:p w14:paraId="07599030" w14:textId="77777777" w:rsidR="00A768F4" w:rsidRPr="00761061" w:rsidRDefault="00A768F4" w:rsidP="00A768F4">
      <w:r w:rsidRPr="00761061">
        <w:rPr>
          <w:lang w:val="en-US"/>
        </w:rPr>
        <w:t xml:space="preserve">Taylor, Rebecca M. 2017. „Education for Autonomy and Open-Mindedness in Diverse </w:t>
      </w:r>
      <w:proofErr w:type="gramStart"/>
      <w:r w:rsidRPr="00761061">
        <w:rPr>
          <w:lang w:val="en-US"/>
        </w:rPr>
        <w:t>Societies“</w:t>
      </w:r>
      <w:proofErr w:type="gramEnd"/>
      <w:r w:rsidRPr="00761061">
        <w:rPr>
          <w:lang w:val="en-US"/>
        </w:rPr>
        <w:t xml:space="preserve">. </w:t>
      </w:r>
      <w:r w:rsidRPr="00761061">
        <w:rPr>
          <w:i/>
          <w:iCs/>
        </w:rPr>
        <w:t>Educational Philosophy and Theory</w:t>
      </w:r>
      <w:r w:rsidRPr="00761061">
        <w:t xml:space="preserve"> 49 (14): 1326-37. https://doi.org/10.1080/00131857.2017.1278673.</w:t>
      </w:r>
    </w:p>
    <w:p w14:paraId="11FD2F86" w14:textId="77777777" w:rsidR="00A768F4" w:rsidRPr="00FF1BDF" w:rsidRDefault="00A768F4" w:rsidP="00A768F4">
      <w:r w:rsidRPr="00761061">
        <w:t xml:space="preserve">Theis, Stefanie. 2006. </w:t>
      </w:r>
      <w:r w:rsidRPr="00761061">
        <w:rPr>
          <w:i/>
          <w:iCs/>
        </w:rPr>
        <w:t>Religiosität von Russlanddeutschen</w:t>
      </w:r>
      <w:r w:rsidRPr="00761061">
        <w:t xml:space="preserve">. Praktische Theologie heute 73. </w:t>
      </w:r>
      <w:r w:rsidRPr="00FF1BDF">
        <w:t>Kohlhammer.</w:t>
      </w:r>
    </w:p>
    <w:p w14:paraId="3914CFFE" w14:textId="77777777" w:rsidR="00A768F4" w:rsidRPr="00761061" w:rsidRDefault="00A768F4" w:rsidP="00A768F4">
      <w:pPr>
        <w:rPr>
          <w:lang w:val="en-US"/>
        </w:rPr>
      </w:pPr>
      <w:r w:rsidRPr="00761061">
        <w:rPr>
          <w:lang w:val="en-US"/>
        </w:rPr>
        <w:fldChar w:fldCharType="begin"/>
      </w:r>
      <w:r w:rsidRPr="00761061">
        <w:instrText xml:space="preserve"> ADDIN ZOTERO_BIBL {"uncited":[],"omitted":[],"custom":[]} CSL_BIBLIOGRAPHY </w:instrText>
      </w:r>
      <w:r w:rsidRPr="00761061">
        <w:rPr>
          <w:lang w:val="en-US"/>
        </w:rPr>
        <w:fldChar w:fldCharType="separate"/>
      </w:r>
      <w:r w:rsidRPr="00761061">
        <w:t xml:space="preserve">Virchow, Fabian. 2016. „›Rechtsextremismus‹: Begriffe – Forschungsfelder – Kontroversen“. In </w:t>
      </w:r>
      <w:r w:rsidRPr="00761061">
        <w:rPr>
          <w:i/>
          <w:iCs/>
        </w:rPr>
        <w:t>Handbuch Rechtsextremismus</w:t>
      </w:r>
      <w:r w:rsidRPr="00761061">
        <w:t xml:space="preserve">, herausgegeben von Fabian Virchow, Martin Langebach, und Alexander Häusler. </w:t>
      </w:r>
      <w:r w:rsidRPr="00761061">
        <w:rPr>
          <w:lang w:val="en-US"/>
        </w:rPr>
        <w:t>Springer Fachmedien Wiesbaden. https://doi.org/10.1007/978-3-531-19085-3_2.</w:t>
      </w:r>
    </w:p>
    <w:p w14:paraId="6E7C1278" w14:textId="77777777" w:rsidR="00A768F4" w:rsidRPr="00761061" w:rsidRDefault="00A768F4" w:rsidP="00A768F4">
      <w:pPr>
        <w:rPr>
          <w:lang w:val="en-US"/>
        </w:rPr>
      </w:pPr>
      <w:r w:rsidRPr="00761061">
        <w:lastRenderedPageBreak/>
        <w:fldChar w:fldCharType="end"/>
      </w:r>
      <w:r w:rsidRPr="00761061">
        <w:rPr>
          <w:lang w:val="en-US"/>
        </w:rPr>
        <w:t xml:space="preserve">Wellman, Kathleen. 2021. </w:t>
      </w:r>
      <w:r w:rsidRPr="00761061">
        <w:rPr>
          <w:i/>
          <w:iCs/>
          <w:lang w:val="en-US"/>
        </w:rPr>
        <w:t>Hijacking History: How the Christian Right Teaches History and Why It Matters</w:t>
      </w:r>
      <w:r w:rsidRPr="00761061">
        <w:rPr>
          <w:lang w:val="en-US"/>
        </w:rPr>
        <w:t>. Oxford Scholarship Online. Oxford University Press. https://doi.org/10.1093/oso/9780197579237.001.0001.</w:t>
      </w:r>
    </w:p>
    <w:p w14:paraId="28DD8593" w14:textId="77777777" w:rsidR="00A768F4" w:rsidRPr="00761061" w:rsidRDefault="00A768F4" w:rsidP="00A768F4">
      <w:pPr>
        <w:rPr>
          <w:lang w:val="en-US"/>
        </w:rPr>
      </w:pPr>
      <w:r w:rsidRPr="00761061">
        <w:rPr>
          <w:lang w:val="en-US"/>
        </w:rPr>
        <w:t xml:space="preserve">Whitehead, Andrew L., und Samuel L. Perry. 2019. „Is a “Christian America” a More Patriarchal America? Religion, Politics, and Traditionalist Gender </w:t>
      </w:r>
      <w:proofErr w:type="gramStart"/>
      <w:r w:rsidRPr="00761061">
        <w:rPr>
          <w:lang w:val="en-US"/>
        </w:rPr>
        <w:t>Ideology“</w:t>
      </w:r>
      <w:proofErr w:type="gramEnd"/>
      <w:r w:rsidRPr="00761061">
        <w:rPr>
          <w:lang w:val="en-US"/>
        </w:rPr>
        <w:t xml:space="preserve">. </w:t>
      </w:r>
      <w:r w:rsidRPr="00761061">
        <w:rPr>
          <w:i/>
          <w:iCs/>
          <w:lang w:val="en-US"/>
        </w:rPr>
        <w:t>Canadian Review of Sociology/Revue Canadienne de Sociologie</w:t>
      </w:r>
      <w:r w:rsidRPr="00761061">
        <w:rPr>
          <w:lang w:val="en-US"/>
        </w:rPr>
        <w:t xml:space="preserve"> 56 (2): 151-77. https://doi.org/10.1111/cars.12241.</w:t>
      </w:r>
    </w:p>
    <w:p w14:paraId="555A152B" w14:textId="77777777" w:rsidR="00A768F4" w:rsidRPr="00761061" w:rsidRDefault="00A768F4" w:rsidP="00A768F4">
      <w:pPr>
        <w:rPr>
          <w:lang w:val="en-US"/>
        </w:rPr>
      </w:pPr>
      <w:r w:rsidRPr="00761061">
        <w:rPr>
          <w:lang w:val="en-US"/>
        </w:rPr>
        <w:t xml:space="preserve">Whitehead, Andrew L., und Samuel L. Perry. 2020. </w:t>
      </w:r>
      <w:r w:rsidRPr="00761061">
        <w:rPr>
          <w:i/>
          <w:iCs/>
          <w:lang w:val="en-US"/>
        </w:rPr>
        <w:t>Taking America back for God: Christian nationalism in the United States</w:t>
      </w:r>
      <w:r w:rsidRPr="00761061">
        <w:rPr>
          <w:lang w:val="en-US"/>
        </w:rPr>
        <w:t>. Oxford University Press.</w:t>
      </w:r>
    </w:p>
    <w:p w14:paraId="7BEAF85F" w14:textId="77777777" w:rsidR="00A768F4" w:rsidRPr="00761061" w:rsidRDefault="00A768F4" w:rsidP="00A768F4">
      <w:pPr>
        <w:rPr>
          <w:lang w:val="en-US"/>
        </w:rPr>
      </w:pPr>
      <w:r w:rsidRPr="00761061">
        <w:rPr>
          <w:lang w:val="en-US"/>
        </w:rPr>
        <w:t xml:space="preserve">Whitehead, Andrew L, Samuel L Perry, und Joseph O Baker. 2018. „Make America Christian Again: Christian Nationalism and Voting for Donald Trump in the 2016 Presidential </w:t>
      </w:r>
      <w:proofErr w:type="gramStart"/>
      <w:r w:rsidRPr="00761061">
        <w:rPr>
          <w:lang w:val="en-US"/>
        </w:rPr>
        <w:t>Election“</w:t>
      </w:r>
      <w:proofErr w:type="gramEnd"/>
      <w:r w:rsidRPr="00761061">
        <w:rPr>
          <w:lang w:val="en-US"/>
        </w:rPr>
        <w:t xml:space="preserve">. </w:t>
      </w:r>
      <w:r w:rsidRPr="00761061">
        <w:rPr>
          <w:i/>
          <w:iCs/>
          <w:lang w:val="en-US"/>
        </w:rPr>
        <w:t>Sociology of Religion</w:t>
      </w:r>
      <w:r w:rsidRPr="00761061">
        <w:rPr>
          <w:lang w:val="en-US"/>
        </w:rPr>
        <w:t xml:space="preserve"> 79 (2): 147-71. https://doi.org/10.1093/socrel/srx070.</w:t>
      </w:r>
    </w:p>
    <w:p w14:paraId="004747FB" w14:textId="77777777" w:rsidR="00A768F4" w:rsidRPr="00C66CB1" w:rsidRDefault="00A768F4" w:rsidP="00A768F4">
      <w:r w:rsidRPr="00761061">
        <w:rPr>
          <w:lang w:val="en-US"/>
        </w:rPr>
        <w:t xml:space="preserve">Williams, Daniel K. 2012. </w:t>
      </w:r>
      <w:r w:rsidRPr="00761061">
        <w:rPr>
          <w:i/>
          <w:iCs/>
          <w:lang w:val="en-US"/>
        </w:rPr>
        <w:t>God’s Own Party: The Making of the Christian Right</w:t>
      </w:r>
      <w:r w:rsidRPr="00761061">
        <w:rPr>
          <w:lang w:val="en-US"/>
        </w:rPr>
        <w:t xml:space="preserve">. </w:t>
      </w:r>
      <w:r w:rsidRPr="00C66CB1">
        <w:t>1. iss. as an Oxford Univ. Paperback. Oxford Univ. Press.</w:t>
      </w:r>
    </w:p>
    <w:p w14:paraId="49A11836" w14:textId="77777777" w:rsidR="00A768F4" w:rsidRPr="00C66CB1" w:rsidRDefault="00A768F4" w:rsidP="00A768F4">
      <w:r w:rsidRPr="00C66CB1">
        <w:rPr>
          <w:i/>
        </w:rPr>
        <w:t>Wir über uns</w:t>
      </w:r>
      <w:r w:rsidRPr="00C66CB1">
        <w:t xml:space="preserve">. </w:t>
      </w:r>
      <w:r w:rsidRPr="00761061">
        <w:t xml:space="preserve">Vereinigung Evangelischer Freikirchen. Zugegriffen: 01. Dezember 2025.  </w:t>
      </w:r>
      <w:r w:rsidRPr="00C66CB1">
        <w:t>https://www.vef.de/wir-uber-uns.</w:t>
      </w:r>
    </w:p>
    <w:p w14:paraId="442ABA04" w14:textId="77777777" w:rsidR="00A768F4" w:rsidRPr="00761061" w:rsidRDefault="00A768F4" w:rsidP="00A768F4">
      <w:pPr>
        <w:rPr>
          <w:lang w:val="en-US"/>
        </w:rPr>
      </w:pPr>
      <w:r w:rsidRPr="005E00B3">
        <w:rPr>
          <w:lang w:val="en-GB"/>
        </w:rPr>
        <w:t xml:space="preserve">Wood, Simon A., und David Harrington Watt, Hrsg. 2014. </w:t>
      </w:r>
      <w:r w:rsidRPr="00761061">
        <w:rPr>
          <w:i/>
          <w:iCs/>
          <w:lang w:val="en-US"/>
        </w:rPr>
        <w:t>Fundamentalism: Perspectives on a Contested History</w:t>
      </w:r>
      <w:r w:rsidRPr="00761061">
        <w:rPr>
          <w:lang w:val="en-US"/>
        </w:rPr>
        <w:t>. University of South Carolina Press. https://doi.org/10.2307/j.ctv6wggnd.</w:t>
      </w:r>
    </w:p>
    <w:p w14:paraId="362F10FB" w14:textId="77777777" w:rsidR="00A768F4" w:rsidRDefault="00A768F4" w:rsidP="00A768F4">
      <w:r w:rsidRPr="00761061">
        <w:rPr>
          <w:i/>
          <w:iCs/>
          <w:lang w:val="en-US"/>
        </w:rPr>
        <w:t>Youth with a Mission - Germany</w:t>
      </w:r>
      <w:r w:rsidRPr="00761061">
        <w:rPr>
          <w:lang w:val="en-US"/>
        </w:rPr>
        <w:t xml:space="preserve">. o. J. Zugegriffen: 01. </w:t>
      </w:r>
      <w:r w:rsidRPr="00761061">
        <w:t>Dezember 2025</w:t>
      </w:r>
      <w:r w:rsidRPr="00FF1BDF">
        <w:t>. www.ywam.org.</w:t>
      </w:r>
    </w:p>
    <w:p w14:paraId="46AB4BBE" w14:textId="77777777" w:rsidR="00A768F4" w:rsidRDefault="00A768F4" w:rsidP="00A768F4"/>
    <w:p w14:paraId="34859AB4" w14:textId="77777777" w:rsidR="00A768F4" w:rsidRPr="009B707A" w:rsidRDefault="00A768F4" w:rsidP="00A768F4"/>
    <w:p w14:paraId="624AD7B5" w14:textId="2DCC3392" w:rsidR="00C3634D" w:rsidRDefault="00A768F4" w:rsidP="00C3634D">
      <w:pPr>
        <w:pStyle w:val="berschrift1"/>
        <w:numPr>
          <w:ilvl w:val="0"/>
          <w:numId w:val="0"/>
        </w:numPr>
        <w:spacing w:before="240" w:after="160"/>
      </w:pPr>
      <w:r>
        <w:br w:type="page"/>
      </w:r>
      <w:r w:rsidR="00C3634D" w:rsidRPr="00C3634D">
        <w:rPr>
          <w:rFonts w:asciiTheme="minorHAnsi" w:hAnsiTheme="minorHAnsi" w:cstheme="minorHAnsi"/>
          <w:color w:val="016D72"/>
          <w:sz w:val="32"/>
          <w:szCs w:val="32"/>
        </w:rPr>
        <w:lastRenderedPageBreak/>
        <w:t>Praxis und Debatte</w:t>
      </w:r>
      <w:r w:rsidR="00C3634D">
        <w:br w:type="page"/>
      </w:r>
    </w:p>
    <w:p w14:paraId="5D7B6E98" w14:textId="77777777" w:rsidR="00182AB3" w:rsidRPr="000D3116" w:rsidRDefault="00182AB3" w:rsidP="00182AB3">
      <w:pPr>
        <w:pStyle w:val="berschrift1"/>
        <w:numPr>
          <w:ilvl w:val="0"/>
          <w:numId w:val="0"/>
        </w:numPr>
        <w:spacing w:before="240" w:after="160"/>
        <w:rPr>
          <w:rFonts w:asciiTheme="minorHAnsi" w:hAnsiTheme="minorHAnsi" w:cstheme="minorHAnsi"/>
          <w:color w:val="016D72"/>
          <w:sz w:val="32"/>
          <w:szCs w:val="32"/>
        </w:rPr>
      </w:pPr>
      <w:r w:rsidRPr="000D3116">
        <w:rPr>
          <w:rFonts w:asciiTheme="minorHAnsi" w:hAnsiTheme="minorHAnsi" w:cstheme="minorHAnsi"/>
          <w:noProof/>
          <w:color w:val="016D72"/>
          <w:sz w:val="32"/>
          <w:szCs w:val="32"/>
        </w:rPr>
        <w:lastRenderedPageBreak/>
        <mc:AlternateContent>
          <mc:Choice Requires="wps">
            <w:drawing>
              <wp:anchor distT="0" distB="0" distL="114300" distR="114300" simplePos="0" relativeHeight="251674630" behindDoc="0" locked="0" layoutInCell="1" allowOverlap="1" wp14:anchorId="3F234C0D" wp14:editId="48296484">
                <wp:simplePos x="0" y="0"/>
                <wp:positionH relativeFrom="column">
                  <wp:posOffset>280670</wp:posOffset>
                </wp:positionH>
                <wp:positionV relativeFrom="paragraph">
                  <wp:posOffset>8101330</wp:posOffset>
                </wp:positionV>
                <wp:extent cx="2809875" cy="736600"/>
                <wp:effectExtent l="0" t="0" r="0" b="6350"/>
                <wp:wrapNone/>
                <wp:docPr id="516546643" name="Textfeld 516546643"/>
                <wp:cNvGraphicFramePr/>
                <a:graphic xmlns:a="http://schemas.openxmlformats.org/drawingml/2006/main">
                  <a:graphicData uri="http://schemas.microsoft.com/office/word/2010/wordprocessingShape">
                    <wps:wsp>
                      <wps:cNvSpPr txBox="1"/>
                      <wps:spPr>
                        <a:xfrm>
                          <a:off x="0" y="0"/>
                          <a:ext cx="2809875" cy="736600"/>
                        </a:xfrm>
                        <a:prstGeom prst="rect">
                          <a:avLst/>
                        </a:prstGeom>
                        <a:noFill/>
                        <a:ln w="6350">
                          <a:noFill/>
                        </a:ln>
                      </wps:spPr>
                      <wps:txbx>
                        <w:txbxContent>
                          <w:p w14:paraId="3B985180" w14:textId="77777777" w:rsidR="00182AB3" w:rsidRPr="006511D8" w:rsidRDefault="00182AB3" w:rsidP="00182AB3">
                            <w:pPr>
                              <w:rPr>
                                <w:color w:val="FFFFFF" w:themeColor="background1"/>
                                <w:sz w:val="48"/>
                                <w:szCs w:val="48"/>
                              </w:rPr>
                            </w:pPr>
                            <w:r>
                              <w:rPr>
                                <w:color w:val="FFFFFF" w:themeColor="background1"/>
                                <w:sz w:val="48"/>
                                <w:szCs w:val="48"/>
                              </w:rPr>
                              <w:t>Bd</w:t>
                            </w:r>
                            <w:r w:rsidRPr="006511D8">
                              <w:rPr>
                                <w:color w:val="FFFFFF" w:themeColor="background1"/>
                                <w:sz w:val="48"/>
                                <w:szCs w:val="48"/>
                              </w:rPr>
                              <w:t xml:space="preserve">. </w:t>
                            </w:r>
                            <w:r>
                              <w:rPr>
                                <w:color w:val="FFFFFF" w:themeColor="background1"/>
                                <w:sz w:val="48"/>
                                <w:szCs w:val="48"/>
                              </w:rPr>
                              <w:t>4</w:t>
                            </w:r>
                            <w:r w:rsidRPr="006511D8">
                              <w:rPr>
                                <w:color w:val="FFFFFF" w:themeColor="background1"/>
                                <w:sz w:val="48"/>
                                <w:szCs w:val="48"/>
                              </w:rPr>
                              <w:t xml:space="preserve"> / </w:t>
                            </w:r>
                            <w:r>
                              <w:rPr>
                                <w:color w:val="FFFFFF" w:themeColor="background1"/>
                                <w:sz w:val="48"/>
                                <w:szCs w:val="48"/>
                              </w:rPr>
                              <w:t xml:space="preserve">Nr. 1 / </w:t>
                            </w:r>
                            <w:r w:rsidRPr="006511D8">
                              <w:rPr>
                                <w:color w:val="FFFFFF" w:themeColor="background1"/>
                                <w:sz w:val="48"/>
                                <w:szCs w:val="48"/>
                              </w:rPr>
                              <w:t>202</w:t>
                            </w:r>
                            <w:r>
                              <w:rPr>
                                <w:color w:val="FFFFFF" w:themeColor="background1"/>
                                <w:sz w:val="48"/>
                                <w:szCs w:val="48"/>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F234C0D" id="Textfeld 516546643" o:spid="_x0000_s1029" type="#_x0000_t202" style="position:absolute;margin-left:22.1pt;margin-top:637.9pt;width:221.25pt;height:58pt;z-index:25167463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JYaHAIAADMEAAAOAAAAZHJzL2Uyb0RvYy54bWysU9tuGyEQfa+Uf0C8x7u+OyuvIzeRq0pW&#10;Esmp8oxZ8K7EMhSwd92v78D6prRPVV9gYIa5nHOYP7a1IgdhXQU6p/1eSonQHIpK73L64311P6PE&#10;eaYLpkCLnB6Fo4+Luy/zxmRiACWoQliCSbTLGpPT0nuTJYnjpaiZ64ERGp0SbM08Hu0uKSxrMHut&#10;kkGaTpIGbGEscOEc3j53TrqI+aUU3L9K6YQnKqfYm4+rjes2rMlizrKdZaas+KkN9g9d1KzSWPSS&#10;6pl5Rva2+iNVXXELDqTvcagTkLLiIs6A0/TTT9NsSmZEnAXBceYCk/t/afnLYWPeLPHtV2iRwABI&#10;Y1zm8DLM00pbhx07JehHCI8X2ETrCcfLwSx9mE3HlHD0TYeTSRpxTa6vjXX+m4CaBCOnFmmJaLHD&#10;2nmsiKHnkFBMw6pSKlKjNGlyOhmO0/jg4sEXSuPDa6/B8u22JVWR0+F5ji0URxzPQse8M3xVYQ9r&#10;5vwbs0g1ToTy9a+4SAVYC04WJSXYX3+7D/HIAHopaVA6OXU/98wKStR3jdw89EejoLV4GI2nAzzY&#10;W8/21qP39ROgOvv4UQyPZoj36mxKC/UHqnwZqqKLaY61c+rP5pPvBI2/hIvlMgahugzza70xPKQO&#10;qAaE39sPZs2JBo8EvsBZZCz7xEYX2/Gx3HuQVaQq4NyheoIflRkZPP2iIP3bc4y6/vXFbwAAAP//&#10;AwBQSwMEFAAGAAgAAAAhACI2XLniAAAADAEAAA8AAABkcnMvZG93bnJldi54bWxMj01Pg0AQhu8m&#10;/ofNmHizS5G2iCxNQ9KYGD209uJtYLdAZGeR3bbor3c86XHeefJ+5OvJ9uJsRt85UjCfRSAM1U53&#10;1Cg4vG3vUhA+IGnsHRkFX8bDuri+yjHT7kI7c96HRrAJ+QwVtCEMmZS+bo1FP3ODIf4d3Wgx8Dk2&#10;Uo94YXPbyziKltJiR5zQ4mDK1tQf+5NV8FxuX3FXxTb97sunl+Nm+Dy8L5S6vZk2jyCCmcIfDL/1&#10;uToU3KlyJ9Je9AqSJGaS9Xi14A1MJOlyBaJi6f5hnoIscvl/RPEDAAD//wMAUEsBAi0AFAAGAAgA&#10;AAAhALaDOJL+AAAA4QEAABMAAAAAAAAAAAAAAAAAAAAAAFtDb250ZW50X1R5cGVzXS54bWxQSwEC&#10;LQAUAAYACAAAACEAOP0h/9YAAACUAQAACwAAAAAAAAAAAAAAAAAvAQAAX3JlbHMvLnJlbHNQSwEC&#10;LQAUAAYACAAAACEAWLSWGhwCAAAzBAAADgAAAAAAAAAAAAAAAAAuAgAAZHJzL2Uyb0RvYy54bWxQ&#10;SwECLQAUAAYACAAAACEAIjZcueIAAAAMAQAADwAAAAAAAAAAAAAAAAB2BAAAZHJzL2Rvd25yZXYu&#10;eG1sUEsFBgAAAAAEAAQA8wAAAIUFAAAAAA==&#10;" filled="f" stroked="f" strokeweight=".5pt">
                <v:textbox>
                  <w:txbxContent>
                    <w:p w14:paraId="3B985180" w14:textId="77777777" w:rsidR="00182AB3" w:rsidRPr="006511D8" w:rsidRDefault="00182AB3" w:rsidP="00182AB3">
                      <w:pPr>
                        <w:rPr>
                          <w:color w:val="FFFFFF" w:themeColor="background1"/>
                          <w:sz w:val="48"/>
                          <w:szCs w:val="48"/>
                        </w:rPr>
                      </w:pPr>
                      <w:r>
                        <w:rPr>
                          <w:color w:val="FFFFFF" w:themeColor="background1"/>
                          <w:sz w:val="48"/>
                          <w:szCs w:val="48"/>
                        </w:rPr>
                        <w:t>Bd</w:t>
                      </w:r>
                      <w:r w:rsidRPr="006511D8">
                        <w:rPr>
                          <w:color w:val="FFFFFF" w:themeColor="background1"/>
                          <w:sz w:val="48"/>
                          <w:szCs w:val="48"/>
                        </w:rPr>
                        <w:t xml:space="preserve">. </w:t>
                      </w:r>
                      <w:r>
                        <w:rPr>
                          <w:color w:val="FFFFFF" w:themeColor="background1"/>
                          <w:sz w:val="48"/>
                          <w:szCs w:val="48"/>
                        </w:rPr>
                        <w:t>4</w:t>
                      </w:r>
                      <w:r w:rsidRPr="006511D8">
                        <w:rPr>
                          <w:color w:val="FFFFFF" w:themeColor="background1"/>
                          <w:sz w:val="48"/>
                          <w:szCs w:val="48"/>
                        </w:rPr>
                        <w:t xml:space="preserve"> / </w:t>
                      </w:r>
                      <w:r>
                        <w:rPr>
                          <w:color w:val="FFFFFF" w:themeColor="background1"/>
                          <w:sz w:val="48"/>
                          <w:szCs w:val="48"/>
                        </w:rPr>
                        <w:t xml:space="preserve">Nr. 1 / </w:t>
                      </w:r>
                      <w:r w:rsidRPr="006511D8">
                        <w:rPr>
                          <w:color w:val="FFFFFF" w:themeColor="background1"/>
                          <w:sz w:val="48"/>
                          <w:szCs w:val="48"/>
                        </w:rPr>
                        <w:t>202</w:t>
                      </w:r>
                      <w:r>
                        <w:rPr>
                          <w:color w:val="FFFFFF" w:themeColor="background1"/>
                          <w:sz w:val="48"/>
                          <w:szCs w:val="48"/>
                        </w:rPr>
                        <w:t>5</w:t>
                      </w:r>
                    </w:p>
                  </w:txbxContent>
                </v:textbox>
              </v:shape>
            </w:pict>
          </mc:Fallback>
        </mc:AlternateContent>
      </w:r>
      <w:r w:rsidRPr="000D3116">
        <w:rPr>
          <w:rFonts w:asciiTheme="minorHAnsi" w:hAnsiTheme="minorHAnsi" w:cstheme="minorHAnsi"/>
          <w:color w:val="016D72"/>
          <w:sz w:val="32"/>
          <w:szCs w:val="32"/>
        </w:rPr>
        <w:t>Bedroht, beleidigt, belastet: Herausforderungen der psychosozialen</w:t>
      </w:r>
      <w:r>
        <w:rPr>
          <w:rFonts w:asciiTheme="minorHAnsi" w:hAnsiTheme="minorHAnsi" w:cstheme="minorHAnsi"/>
          <w:color w:val="016D72"/>
          <w:sz w:val="32"/>
          <w:szCs w:val="32"/>
        </w:rPr>
        <w:t xml:space="preserve"> </w:t>
      </w:r>
      <w:r w:rsidRPr="000D3116">
        <w:rPr>
          <w:rFonts w:asciiTheme="minorHAnsi" w:hAnsiTheme="minorHAnsi" w:cstheme="minorHAnsi"/>
          <w:color w:val="016D72"/>
          <w:sz w:val="32"/>
          <w:szCs w:val="32"/>
        </w:rPr>
        <w:t>Beratung für Amts- und Mandatsträger*innen</w:t>
      </w:r>
    </w:p>
    <w:p w14:paraId="634EA7EA" w14:textId="77777777" w:rsidR="00182AB3" w:rsidRDefault="00182AB3" w:rsidP="00182AB3"/>
    <w:p w14:paraId="3DE12E62" w14:textId="433545FE" w:rsidR="00182AB3" w:rsidRDefault="00182AB3" w:rsidP="00182AB3">
      <w:r w:rsidRPr="00182AB3">
        <w:t>Dennis Walkenhorst</w:t>
      </w:r>
    </w:p>
    <w:p w14:paraId="7C4414FC" w14:textId="055B44CD" w:rsidR="00F0370E" w:rsidRDefault="00182AB3" w:rsidP="00182AB3">
      <w:r>
        <w:t>Jens Ostwaldt</w:t>
      </w:r>
    </w:p>
    <w:p w14:paraId="42F582D4" w14:textId="77777777" w:rsidR="00F0370E" w:rsidRDefault="00F0370E" w:rsidP="00182AB3"/>
    <w:p w14:paraId="7B425A8A" w14:textId="0D05B5D1" w:rsidR="00182AB3" w:rsidRPr="00F0370E" w:rsidRDefault="00F0370E" w:rsidP="00182AB3">
      <w:r>
        <w:t>Bd. 4 / Nr. 1 / 2025</w:t>
      </w:r>
      <w:r w:rsidR="00182AB3" w:rsidRPr="00182AB3">
        <w:rPr>
          <w:rFonts w:eastAsiaTheme="majorEastAsia" w:cstheme="minorHAnsi"/>
          <w:color w:val="016D72"/>
          <w:kern w:val="2"/>
          <w:sz w:val="32"/>
          <w:szCs w:val="32"/>
          <w:lang w:val="de-CH"/>
          <w14:ligatures w14:val="standardContextual"/>
        </w:rPr>
        <w:br w:type="page"/>
      </w:r>
    </w:p>
    <w:p w14:paraId="528898B1" w14:textId="03EECD30" w:rsidR="00C05D52" w:rsidRPr="000D3116" w:rsidRDefault="00C05D52" w:rsidP="00176387">
      <w:pPr>
        <w:pStyle w:val="berschrift1"/>
        <w:numPr>
          <w:ilvl w:val="0"/>
          <w:numId w:val="0"/>
        </w:numPr>
        <w:spacing w:before="240" w:after="160"/>
        <w:rPr>
          <w:rFonts w:asciiTheme="minorHAnsi" w:hAnsiTheme="minorHAnsi" w:cstheme="minorHAnsi"/>
          <w:color w:val="016D72"/>
          <w:sz w:val="32"/>
          <w:szCs w:val="32"/>
        </w:rPr>
      </w:pPr>
      <w:r w:rsidRPr="000D3116">
        <w:rPr>
          <w:rFonts w:asciiTheme="minorHAnsi" w:hAnsiTheme="minorHAnsi" w:cstheme="minorHAnsi"/>
          <w:noProof/>
          <w:color w:val="016D72"/>
          <w:sz w:val="32"/>
          <w:szCs w:val="32"/>
        </w:rPr>
        <w:lastRenderedPageBreak/>
        <mc:AlternateContent>
          <mc:Choice Requires="wps">
            <w:drawing>
              <wp:anchor distT="0" distB="0" distL="114300" distR="114300" simplePos="0" relativeHeight="251671558" behindDoc="0" locked="0" layoutInCell="1" allowOverlap="1" wp14:anchorId="76C3F841" wp14:editId="5717CBB3">
                <wp:simplePos x="0" y="0"/>
                <wp:positionH relativeFrom="column">
                  <wp:posOffset>280670</wp:posOffset>
                </wp:positionH>
                <wp:positionV relativeFrom="paragraph">
                  <wp:posOffset>8101330</wp:posOffset>
                </wp:positionV>
                <wp:extent cx="2809875" cy="736600"/>
                <wp:effectExtent l="0" t="0" r="0" b="6350"/>
                <wp:wrapNone/>
                <wp:docPr id="220581137" name="Textfeld 220581137"/>
                <wp:cNvGraphicFramePr/>
                <a:graphic xmlns:a="http://schemas.openxmlformats.org/drawingml/2006/main">
                  <a:graphicData uri="http://schemas.microsoft.com/office/word/2010/wordprocessingShape">
                    <wps:wsp>
                      <wps:cNvSpPr txBox="1"/>
                      <wps:spPr>
                        <a:xfrm>
                          <a:off x="0" y="0"/>
                          <a:ext cx="2809875" cy="736600"/>
                        </a:xfrm>
                        <a:prstGeom prst="rect">
                          <a:avLst/>
                        </a:prstGeom>
                        <a:noFill/>
                        <a:ln w="6350">
                          <a:noFill/>
                        </a:ln>
                      </wps:spPr>
                      <wps:txbx>
                        <w:txbxContent>
                          <w:p w14:paraId="20137322" w14:textId="77777777" w:rsidR="00C05D52" w:rsidRPr="006511D8" w:rsidRDefault="00C05D52" w:rsidP="00C05D52">
                            <w:pPr>
                              <w:rPr>
                                <w:color w:val="FFFFFF" w:themeColor="background1"/>
                                <w:sz w:val="48"/>
                                <w:szCs w:val="48"/>
                              </w:rPr>
                            </w:pPr>
                            <w:r>
                              <w:rPr>
                                <w:color w:val="FFFFFF" w:themeColor="background1"/>
                                <w:sz w:val="48"/>
                                <w:szCs w:val="48"/>
                              </w:rPr>
                              <w:t>Bd</w:t>
                            </w:r>
                            <w:r w:rsidRPr="006511D8">
                              <w:rPr>
                                <w:color w:val="FFFFFF" w:themeColor="background1"/>
                                <w:sz w:val="48"/>
                                <w:szCs w:val="48"/>
                              </w:rPr>
                              <w:t xml:space="preserve">. </w:t>
                            </w:r>
                            <w:r>
                              <w:rPr>
                                <w:color w:val="FFFFFF" w:themeColor="background1"/>
                                <w:sz w:val="48"/>
                                <w:szCs w:val="48"/>
                              </w:rPr>
                              <w:t>4</w:t>
                            </w:r>
                            <w:r w:rsidRPr="006511D8">
                              <w:rPr>
                                <w:color w:val="FFFFFF" w:themeColor="background1"/>
                                <w:sz w:val="48"/>
                                <w:szCs w:val="48"/>
                              </w:rPr>
                              <w:t xml:space="preserve"> / </w:t>
                            </w:r>
                            <w:r>
                              <w:rPr>
                                <w:color w:val="FFFFFF" w:themeColor="background1"/>
                                <w:sz w:val="48"/>
                                <w:szCs w:val="48"/>
                              </w:rPr>
                              <w:t xml:space="preserve">Nr. 1 / </w:t>
                            </w:r>
                            <w:r w:rsidRPr="006511D8">
                              <w:rPr>
                                <w:color w:val="FFFFFF" w:themeColor="background1"/>
                                <w:sz w:val="48"/>
                                <w:szCs w:val="48"/>
                              </w:rPr>
                              <w:t>202</w:t>
                            </w:r>
                            <w:r>
                              <w:rPr>
                                <w:color w:val="FFFFFF" w:themeColor="background1"/>
                                <w:sz w:val="48"/>
                                <w:szCs w:val="48"/>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6C3F841" id="Textfeld 220581137" o:spid="_x0000_s1030" type="#_x0000_t202" style="position:absolute;margin-left:22.1pt;margin-top:637.9pt;width:221.25pt;height:58pt;z-index:25167155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etdHQIAADMEAAAOAAAAZHJzL2Uyb0RvYy54bWysU9uO2yAQfa/Uf0C8N3ayua0VZ5XuKlWl&#10;aHelbLXPBENsCTMUSOz06ztg56Jtn6q+wMAMcznnsHhoa0WOwroKdE6Hg5QSoTkUld7n9Mfb+suc&#10;EueZLpgCLXJ6Eo4+LD9/WjQmEyMoQRXCEkyiXdaYnJbemyxJHC9FzdwAjNDolGBr5vFo90lhWYPZ&#10;a5WM0nSaNGALY4EL5/D2qXPSZcwvpeD+RUonPFE5xd58XG1cd2FNlguW7S0zZcX7Ntg/dFGzSmPR&#10;S6on5hk52OqPVHXFLTiQfsChTkDKios4A04zTD9Msy2ZEXEWBMeZC0zu/6Xlz8etebXEt1+hRQID&#10;II1xmcPLME8rbR127JSgHyE8XWATrSccL0fz9H4+m1DC0Te7m07TiGtyfW2s898E1CQYObVIS0SL&#10;HTfOY0UMPYeEYhrWlVKRGqVJk9Pp3SSNDy4efKE0Prz2Gizf7lpSFTkdn+fYQXHC8Sx0zDvD1xX2&#10;sGHOvzKLVONEKF//gotUgLWgtygpwf76232IRwbQS0mD0smp+3lgVlCivmvk5n44HgetxcN4Mhvh&#10;wd56drcefagfAdU5xI9ieDRDvFdnU1qo31Hlq1AVXUxzrJ1TfzYffSdo/CVcrFYxCNVlmN/oreEh&#10;dUA1IPzWvjNreho8EvgMZ5Gx7AMbXWzHx+rgQVaRqoBzh2oPPyozMtj/oiD923OMuv715W8AAAD/&#10;/wMAUEsDBBQABgAIAAAAIQAiNly54gAAAAwBAAAPAAAAZHJzL2Rvd25yZXYueG1sTI9NT4NAEIbv&#10;Jv6HzZh4s0uRtogsTUPSmBg9tPbibWC3QGRnkd226K93POlx3nnyfuTryfbibEbfOVIwn0UgDNVO&#10;d9QoOLxt71IQPiBp7B0ZBV/Gw7q4vsox0+5CO3Peh0awCfkMFbQhDJmUvm6NRT9zgyH+Hd1oMfA5&#10;NlKPeGFz28s4ipbSYkec0OJgytbUH/uTVfBcbl9xV8U2/e7Lp5fjZvg8vC+Uur2ZNo8ggpnCHwy/&#10;9bk6FNypcifSXvQKkiRmkvV4teANTCTpcgWiYun+YZ6CLHL5f0TxAwAA//8DAFBLAQItABQABgAI&#10;AAAAIQC2gziS/gAAAOEBAAATAAAAAAAAAAAAAAAAAAAAAABbQ29udGVudF9UeXBlc10ueG1sUEsB&#10;Ai0AFAAGAAgAAAAhADj9If/WAAAAlAEAAAsAAAAAAAAAAAAAAAAALwEAAF9yZWxzLy5yZWxzUEsB&#10;Ai0AFAAGAAgAAAAhAOah610dAgAAMwQAAA4AAAAAAAAAAAAAAAAALgIAAGRycy9lMm9Eb2MueG1s&#10;UEsBAi0AFAAGAAgAAAAhACI2XLniAAAADAEAAA8AAAAAAAAAAAAAAAAAdwQAAGRycy9kb3ducmV2&#10;LnhtbFBLBQYAAAAABAAEAPMAAACGBQAAAAA=&#10;" filled="f" stroked="f" strokeweight=".5pt">
                <v:textbox>
                  <w:txbxContent>
                    <w:p w14:paraId="20137322" w14:textId="77777777" w:rsidR="00C05D52" w:rsidRPr="006511D8" w:rsidRDefault="00C05D52" w:rsidP="00C05D52">
                      <w:pPr>
                        <w:rPr>
                          <w:color w:val="FFFFFF" w:themeColor="background1"/>
                          <w:sz w:val="48"/>
                          <w:szCs w:val="48"/>
                        </w:rPr>
                      </w:pPr>
                      <w:r>
                        <w:rPr>
                          <w:color w:val="FFFFFF" w:themeColor="background1"/>
                          <w:sz w:val="48"/>
                          <w:szCs w:val="48"/>
                        </w:rPr>
                        <w:t>Bd</w:t>
                      </w:r>
                      <w:r w:rsidRPr="006511D8">
                        <w:rPr>
                          <w:color w:val="FFFFFF" w:themeColor="background1"/>
                          <w:sz w:val="48"/>
                          <w:szCs w:val="48"/>
                        </w:rPr>
                        <w:t xml:space="preserve">. </w:t>
                      </w:r>
                      <w:r>
                        <w:rPr>
                          <w:color w:val="FFFFFF" w:themeColor="background1"/>
                          <w:sz w:val="48"/>
                          <w:szCs w:val="48"/>
                        </w:rPr>
                        <w:t>4</w:t>
                      </w:r>
                      <w:r w:rsidRPr="006511D8">
                        <w:rPr>
                          <w:color w:val="FFFFFF" w:themeColor="background1"/>
                          <w:sz w:val="48"/>
                          <w:szCs w:val="48"/>
                        </w:rPr>
                        <w:t xml:space="preserve"> / </w:t>
                      </w:r>
                      <w:r>
                        <w:rPr>
                          <w:color w:val="FFFFFF" w:themeColor="background1"/>
                          <w:sz w:val="48"/>
                          <w:szCs w:val="48"/>
                        </w:rPr>
                        <w:t xml:space="preserve">Nr. 1 / </w:t>
                      </w:r>
                      <w:r w:rsidRPr="006511D8">
                        <w:rPr>
                          <w:color w:val="FFFFFF" w:themeColor="background1"/>
                          <w:sz w:val="48"/>
                          <w:szCs w:val="48"/>
                        </w:rPr>
                        <w:t>202</w:t>
                      </w:r>
                      <w:r>
                        <w:rPr>
                          <w:color w:val="FFFFFF" w:themeColor="background1"/>
                          <w:sz w:val="48"/>
                          <w:szCs w:val="48"/>
                        </w:rPr>
                        <w:t>5</w:t>
                      </w:r>
                    </w:p>
                  </w:txbxContent>
                </v:textbox>
              </v:shape>
            </w:pict>
          </mc:Fallback>
        </mc:AlternateContent>
      </w:r>
      <w:r w:rsidR="00A46A8C" w:rsidRPr="000D3116">
        <w:rPr>
          <w:rFonts w:asciiTheme="minorHAnsi" w:hAnsiTheme="minorHAnsi" w:cstheme="minorHAnsi"/>
          <w:color w:val="016D72"/>
          <w:sz w:val="32"/>
          <w:szCs w:val="32"/>
        </w:rPr>
        <w:t>B</w:t>
      </w:r>
      <w:r w:rsidRPr="000D3116">
        <w:rPr>
          <w:rFonts w:asciiTheme="minorHAnsi" w:hAnsiTheme="minorHAnsi" w:cstheme="minorHAnsi"/>
          <w:color w:val="016D72"/>
          <w:sz w:val="32"/>
          <w:szCs w:val="32"/>
        </w:rPr>
        <w:t xml:space="preserve">edroht, beleidigt, belastet: </w:t>
      </w:r>
      <w:r w:rsidR="00853A2C" w:rsidRPr="000D3116">
        <w:rPr>
          <w:rFonts w:asciiTheme="minorHAnsi" w:hAnsiTheme="minorHAnsi" w:cstheme="minorHAnsi"/>
          <w:color w:val="016D72"/>
          <w:sz w:val="32"/>
          <w:szCs w:val="32"/>
        </w:rPr>
        <w:t>H</w:t>
      </w:r>
      <w:r w:rsidRPr="000D3116">
        <w:rPr>
          <w:rFonts w:asciiTheme="minorHAnsi" w:hAnsiTheme="minorHAnsi" w:cstheme="minorHAnsi"/>
          <w:color w:val="016D72"/>
          <w:sz w:val="32"/>
          <w:szCs w:val="32"/>
        </w:rPr>
        <w:t>erausforderungen der psychosozialen</w:t>
      </w:r>
      <w:r w:rsidR="005468DD">
        <w:rPr>
          <w:rFonts w:asciiTheme="minorHAnsi" w:hAnsiTheme="minorHAnsi" w:cstheme="minorHAnsi"/>
          <w:color w:val="016D72"/>
          <w:sz w:val="32"/>
          <w:szCs w:val="32"/>
        </w:rPr>
        <w:t xml:space="preserve"> </w:t>
      </w:r>
      <w:r w:rsidRPr="000D3116">
        <w:rPr>
          <w:rFonts w:asciiTheme="minorHAnsi" w:hAnsiTheme="minorHAnsi" w:cstheme="minorHAnsi"/>
          <w:color w:val="016D72"/>
          <w:sz w:val="32"/>
          <w:szCs w:val="32"/>
        </w:rPr>
        <w:t>Beratung für Amts- und Mandatsträger*innen</w:t>
      </w:r>
    </w:p>
    <w:p w14:paraId="5D56A4A7" w14:textId="77777777" w:rsidR="00C05D52" w:rsidRDefault="00C05D52" w:rsidP="00C05D52"/>
    <w:p w14:paraId="5FF77927" w14:textId="77777777" w:rsidR="00C05D52" w:rsidRDefault="00C05D52" w:rsidP="00C05D52">
      <w:r>
        <w:rPr>
          <w:b/>
          <w:bCs/>
        </w:rPr>
        <w:t xml:space="preserve">Prof. Dr. </w:t>
      </w:r>
      <w:r w:rsidRPr="00301768">
        <w:rPr>
          <w:b/>
          <w:bCs/>
        </w:rPr>
        <w:t>Dennis Walkenhorst</w:t>
      </w:r>
      <w:r>
        <w:t xml:space="preserve"> – IU Internationale Hochschule Leipzig</w:t>
      </w:r>
    </w:p>
    <w:p w14:paraId="33EFA8E2" w14:textId="40102F09" w:rsidR="00C05D52" w:rsidRDefault="00C05D52" w:rsidP="00C05D52">
      <w:r>
        <w:t xml:space="preserve">E-Mail: </w:t>
      </w:r>
      <w:hyperlink r:id="rId36" w:history="1">
        <w:r w:rsidR="00DE5047">
          <w:rPr>
            <w:rStyle w:val="Hyperlink"/>
          </w:rPr>
          <w:t>Link öffnet E-Mail an Dennis Walkenhorst</w:t>
        </w:r>
      </w:hyperlink>
    </w:p>
    <w:p w14:paraId="0C2EA62B" w14:textId="77777777" w:rsidR="00C05D52" w:rsidRDefault="00C05D52" w:rsidP="00C05D52">
      <w:r w:rsidRPr="0034652D">
        <w:t>Prof. Dr. Dennis Walkenhorst ist Professor für Soziale Arbeit an der IU Internationale Hochschule, Leipzig. Seine Forschungsschwerpunkte sind Ausstiegs-</w:t>
      </w:r>
      <w:r>
        <w:t xml:space="preserve"> </w:t>
      </w:r>
      <w:r w:rsidRPr="0034652D">
        <w:t>und Distanzierungsarbeit als Handlungsfelder Sozialer Arbeit, Case Management, Soziale Diagnostik und Evaluation. Von 2017 bis 2023 war er Leiter des Fachbereichs Wissenschaft bei Violence Prevention Network</w:t>
      </w:r>
      <w:r>
        <w:t xml:space="preserve"> </w:t>
      </w:r>
      <w:r w:rsidRPr="0034652D">
        <w:t>sowie Mitgründer und wissenschaftlicher Leiter von</w:t>
      </w:r>
      <w:r>
        <w:t xml:space="preserve"> </w:t>
      </w:r>
      <w:r w:rsidRPr="0034652D">
        <w:t>modus|zad -</w:t>
      </w:r>
      <w:r>
        <w:t xml:space="preserve"> </w:t>
      </w:r>
      <w:r w:rsidRPr="0034652D">
        <w:t>Zentrum für angewandte Deradikalisierungsforschung</w:t>
      </w:r>
      <w:r>
        <w:t xml:space="preserve"> </w:t>
      </w:r>
      <w:r w:rsidRPr="0034652D">
        <w:t>in Berlin.</w:t>
      </w:r>
    </w:p>
    <w:p w14:paraId="74A97EB5" w14:textId="77777777" w:rsidR="00C05D52" w:rsidRDefault="00C05D52" w:rsidP="00C05D52">
      <w:pPr>
        <w:rPr>
          <w:b/>
          <w:bCs/>
        </w:rPr>
      </w:pPr>
    </w:p>
    <w:p w14:paraId="256EE3B6" w14:textId="77777777" w:rsidR="00C05D52" w:rsidRDefault="00C05D52" w:rsidP="00C05D52">
      <w:r>
        <w:rPr>
          <w:b/>
          <w:bCs/>
        </w:rPr>
        <w:t xml:space="preserve">Prof. Dr. </w:t>
      </w:r>
      <w:r w:rsidRPr="0034652D">
        <w:rPr>
          <w:b/>
          <w:bCs/>
        </w:rPr>
        <w:t>Jens Ostwaldt</w:t>
      </w:r>
      <w:r>
        <w:t xml:space="preserve"> – IU Internationale Hochschule Berlin</w:t>
      </w:r>
    </w:p>
    <w:p w14:paraId="2A227DA2" w14:textId="4B926A66" w:rsidR="00C05D52" w:rsidRDefault="00C05D52" w:rsidP="00C05D52">
      <w:r>
        <w:t xml:space="preserve">E-Mail: </w:t>
      </w:r>
      <w:hyperlink r:id="rId37" w:history="1">
        <w:r w:rsidR="00DE5047">
          <w:rPr>
            <w:rStyle w:val="Hyperlink"/>
          </w:rPr>
          <w:t>Link öffent E-Mail an Jens Ostwaldt</w:t>
        </w:r>
      </w:hyperlink>
    </w:p>
    <w:p w14:paraId="083A7264" w14:textId="77777777" w:rsidR="00C05D52" w:rsidRDefault="00C05D52" w:rsidP="00C05D52">
      <w:r>
        <w:t xml:space="preserve">Prof. </w:t>
      </w:r>
      <w:r w:rsidRPr="0034652D">
        <w:t>Dr. Jens Ostwaldt ist Professor für Soziale Arbeit an der IU Internationale Hochschule Berlin mit den Arbeits- und Forschungsschwerpunkten</w:t>
      </w:r>
      <w:r>
        <w:t xml:space="preserve"> Methoden, Akteure und Strukturen der </w:t>
      </w:r>
      <w:r w:rsidRPr="0034652D">
        <w:t>Ausstiegs-</w:t>
      </w:r>
      <w:r>
        <w:t xml:space="preserve"> </w:t>
      </w:r>
      <w:r w:rsidRPr="0034652D">
        <w:t>und Distanzierungsarbeit</w:t>
      </w:r>
      <w:r>
        <w:t xml:space="preserve"> sowie</w:t>
      </w:r>
      <w:r w:rsidRPr="0034652D">
        <w:t xml:space="preserve"> Extremismus</w:t>
      </w:r>
      <w:r>
        <w:t xml:space="preserve">- und </w:t>
      </w:r>
      <w:r w:rsidRPr="0034652D">
        <w:t>Radikalisierung</w:t>
      </w:r>
      <w:r>
        <w:t>sprävention</w:t>
      </w:r>
      <w:r w:rsidRPr="0034652D">
        <w:t>. Zuvor leitete er die Fachstelle zur Prävention von religiös begründetem Extremismus im Demokratiezentrum Baden-Württemberg.</w:t>
      </w:r>
    </w:p>
    <w:p w14:paraId="45432531" w14:textId="77777777" w:rsidR="00C05D52" w:rsidRPr="007E3CF3" w:rsidRDefault="00C05D52" w:rsidP="00C05D52">
      <w:pPr>
        <w:rPr>
          <w:b/>
        </w:rPr>
      </w:pPr>
      <w:r>
        <w:rPr>
          <w:noProof/>
          <w:lang w:eastAsia="de-DE"/>
        </w:rPr>
        <mc:AlternateContent>
          <mc:Choice Requires="wps">
            <w:drawing>
              <wp:anchor distT="0" distB="0" distL="114300" distR="114300" simplePos="0" relativeHeight="251672582" behindDoc="0" locked="0" layoutInCell="1" allowOverlap="1" wp14:anchorId="261C05EF" wp14:editId="5091E4AA">
                <wp:simplePos x="0" y="0"/>
                <wp:positionH relativeFrom="column">
                  <wp:posOffset>-106165</wp:posOffset>
                </wp:positionH>
                <wp:positionV relativeFrom="paragraph">
                  <wp:posOffset>309568</wp:posOffset>
                </wp:positionV>
                <wp:extent cx="6038850" cy="2760453"/>
                <wp:effectExtent l="0" t="0" r="0" b="1905"/>
                <wp:wrapNone/>
                <wp:docPr id="326686477" name="Textfeld 326686477"/>
                <wp:cNvGraphicFramePr/>
                <a:graphic xmlns:a="http://schemas.openxmlformats.org/drawingml/2006/main">
                  <a:graphicData uri="http://schemas.microsoft.com/office/word/2010/wordprocessingShape">
                    <wps:wsp>
                      <wps:cNvSpPr txBox="1"/>
                      <wps:spPr>
                        <a:xfrm>
                          <a:off x="0" y="0"/>
                          <a:ext cx="6038850" cy="2760453"/>
                        </a:xfrm>
                        <a:prstGeom prst="rect">
                          <a:avLst/>
                        </a:prstGeom>
                        <a:noFill/>
                        <a:ln w="6350">
                          <a:noFill/>
                        </a:ln>
                      </wps:spPr>
                      <wps:txbx>
                        <w:txbxContent>
                          <w:p w14:paraId="5FB6A672" w14:textId="311E37A2" w:rsidR="00C05D52" w:rsidRPr="007E3CF3" w:rsidRDefault="00C05D52" w:rsidP="00C05D52">
                            <w:pPr>
                              <w:jc w:val="both"/>
                            </w:pPr>
                            <w:r w:rsidRPr="0034652D">
                              <w:t>Der Beitrag beleuchtet auf Grundlage der Evaluation der „Zentralen Ansprechstelle für Amts- und Mandatsträger“ (ZAMAT) Baden-Württemberg die psychosozialen Folgen von Gewalt- und Anfeindungserfahrungen sowie bestehende Versorgungslücken in der psychosozialen Beratung dieser „besonderen“ Zielgruppe. Die Ergebnisse zeigen, dass Amts- und Mandatsträger*innen spezifischen Barrieren bei der Inanspruchnahme von Hilfsangeboten unterliegen – insbesondere aufgrund von Stigmatisierungsängsten, Rollenkonflikten und unzureichenden Weitervermittlungsstrukturen. Auf dieser Basis wird die Notwendigkeit eines eigenständigen Praxisfeldes der psychosozialen Beratung für Amts- und Mandatsträger*innen herausgearbeitet, das systematisch auf die besondere Exponiertheit und Machtasymmetrie dieser Zielgruppe eingeht. Der Beitrag diskutiert, wie machtreflektierte, multiprofessionelle Ansätze aus Sozialer Arbeit, Psychotherapie und Krisenintervention strukturelle Versorgungslücken schließen u zu einer demokratiepolitisch relevanten Unterstützungsinfrastruktur beitragen können. Abschließend werden Handlungsempfehlungen formuliert, die den Aufbau eines integrierten, gestuften (</w:t>
                            </w:r>
                            <w:r w:rsidRPr="00D51B92">
                              <w:rPr>
                                <w:i/>
                                <w:iCs/>
                              </w:rPr>
                              <w:t>stepped-care</w:t>
                            </w:r>
                            <w:r w:rsidRPr="0034652D">
                              <w:t>) Versorgungssystems, die Förderung klinisch-sozialarbeiterischer Ansätze und die Etablierung bundesweiter Beratungsstrukturen vorschlagen.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1C05EF" id="Textfeld 326686477" o:spid="_x0000_s1031" type="#_x0000_t202" style="position:absolute;margin-left:-8.35pt;margin-top:24.4pt;width:475.5pt;height:217.35pt;z-index:25167258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tv+GgIAADQEAAAOAAAAZHJzL2Uyb0RvYy54bWysU01v2zAMvQ/YfxB0X+x8NjPiFFmLDAOC&#10;tkA69KzIUmxAFjVJiZ39+lGy87Fup2EXmRTpR/I9anHf1oochXUV6JwOByklQnMoKr3P6ffX9ac5&#10;Jc4zXTAFWuT0JBy9X378sGhMJkZQgiqEJQiiXdaYnJbemyxJHC9FzdwAjNAYlGBr5tG1+6SwrEH0&#10;WiWjNJ0lDdjCWODCObx97IJ0GfGlFNw/S+mEJyqn2JuPp43nLpzJcsGyvWWmrHjfBvuHLmpWaSx6&#10;gXpknpGDrf6AqituwYH0Aw51AlJWXMQZcJph+m6abcmMiLMgOc5caHL/D5Y/HbfmxRLffoEWBQyE&#10;NMZlDi/DPK20dfhipwTjSOHpQptoPeF4OUvH8/kUQxxjo7tZOpmOA05y/d1Y578KqEkwcmpRl0gX&#10;O26c71LPKaGahnWlVNRGadJgiTHi/xZBcKWxxrXZYPl215KqyOn0PMgOihPOZ6GT3hm+rrCHDXP+&#10;hVnUGvvG/fXPeEgFWAt6i5IS7M+/3Yd8lACjlDS4Ozl1Pw7MCkrUN43ifB5OJmHZojOZ3o3QsbeR&#10;3W1EH+oHwPUc4ksxPJoh36uzKS3Ub7jmq1AVQ0xzrJ1TfzYffLfR+Ey4WK1iEq6XYX6jt4YH6MBd&#10;YPi1fWPW9DJ4VPAJzlvGsndqdLkd66uDB1lFqQLPHas9/biaUez+GYXdv/Vj1vWxL38BAAD//wMA&#10;UEsDBBQABgAIAAAAIQA8X/974gAAAAoBAAAPAAAAZHJzL2Rvd25yZXYueG1sTI/BTsJAEIbvJr7D&#10;Zky8wRYKWGu3hDQhJkYPIBdv0+7SNnZna3eB6tM7nPQ4M1/++f5sPdpOnM3gW0cKZtMIhKHK6ZZq&#10;BYf37SQB4QOSxs6RUfBtPKzz25sMU+0utDPnfagFh5BPUUETQp9K6avGWPRT1xvi29ENFgOPQy31&#10;gBcOt52cR9FKWmyJPzTYm6Ix1ef+ZBW8FNs33JVzm/x0xfPrcdN/HT6WSt3fjZsnEMGM4Q+Gqz6r&#10;Q85OpTuR9qJTMJmtHhhVsEi4AgOP8SIGUV4X8RJknsn/FfJfAAAA//8DAFBLAQItABQABgAIAAAA&#10;IQC2gziS/gAAAOEBAAATAAAAAAAAAAAAAAAAAAAAAABbQ29udGVudF9UeXBlc10ueG1sUEsBAi0A&#10;FAAGAAgAAAAhADj9If/WAAAAlAEAAAsAAAAAAAAAAAAAAAAALwEAAF9yZWxzLy5yZWxzUEsBAi0A&#10;FAAGAAgAAAAhAN7W2/4aAgAANAQAAA4AAAAAAAAAAAAAAAAALgIAAGRycy9lMm9Eb2MueG1sUEsB&#10;Ai0AFAAGAAgAAAAhADxf/3viAAAACgEAAA8AAAAAAAAAAAAAAAAAdAQAAGRycy9kb3ducmV2Lnht&#10;bFBLBQYAAAAABAAEAPMAAACDBQAAAAA=&#10;" filled="f" stroked="f" strokeweight=".5pt">
                <v:textbox>
                  <w:txbxContent>
                    <w:p w14:paraId="5FB6A672" w14:textId="311E37A2" w:rsidR="00C05D52" w:rsidRPr="007E3CF3" w:rsidRDefault="00C05D52" w:rsidP="00C05D52">
                      <w:pPr>
                        <w:jc w:val="both"/>
                      </w:pPr>
                      <w:r w:rsidRPr="0034652D">
                        <w:t>Der Beitrag beleuchtet auf Grundlage der Evaluation der „Zentralen Ansprechstelle für Amts- und Mandatsträger“ (ZAMAT) Baden-Württemberg die psychosozialen Folgen von Gewalt- und Anfeindungserfahrungen sowie bestehende Versorgungslücken in der psychosozialen Beratung dieser „besonderen“ Zielgruppe. Die Ergebnisse zeigen, dass Amts- und Mandatsträger*innen spezifischen Barrieren bei der Inanspruchnahme von Hilfsangeboten unterliegen – insbesondere aufgrund von Stigmatisierungsängsten, Rollenkonflikten und unzureichenden Weitervermittlungsstrukturen. Auf dieser Basis wird die Notwendigkeit eines eigenständigen Praxisfeldes der psychosozialen Beratung für Amts- und Mandatsträger*innen herausgearbeitet, das systematisch auf die besondere Exponiertheit und Machtasymmetrie dieser Zielgruppe eingeht. Der Beitrag diskutiert, wie machtreflektierte, multiprofessionelle Ansätze aus Sozialer Arbeit, Psychotherapie und Krisenintervention strukturelle Versorgungslücken schließen u zu einer demokratiepolitisch relevanten Unterstützungsinfrastruktur beitragen können. Abschließend werden Handlungsempfehlungen formuliert, die den Aufbau eines integrierten, gestuften (</w:t>
                      </w:r>
                      <w:r w:rsidRPr="00D51B92">
                        <w:rPr>
                          <w:i/>
                          <w:iCs/>
                        </w:rPr>
                        <w:t>stepped-care</w:t>
                      </w:r>
                      <w:r w:rsidRPr="0034652D">
                        <w:t>) Versorgungssystems, die Förderung klinisch-sozialarbeiterischer Ansätze und die Etablierung bundesweiter Beratungsstrukturen vorschlagen.</w:t>
                      </w:r>
                    </w:p>
                  </w:txbxContent>
                </v:textbox>
              </v:shape>
            </w:pict>
          </mc:Fallback>
        </mc:AlternateContent>
      </w:r>
      <w:r>
        <w:rPr>
          <w:b/>
        </w:rPr>
        <w:t>Ab</w:t>
      </w:r>
      <w:r w:rsidRPr="007E3CF3">
        <w:rPr>
          <w:b/>
        </w:rPr>
        <w:t>stract</w:t>
      </w:r>
    </w:p>
    <w:p w14:paraId="3BF6B1DA" w14:textId="77777777" w:rsidR="00C05D52" w:rsidRDefault="00C05D52" w:rsidP="00C05D52"/>
    <w:p w14:paraId="0211C500" w14:textId="77777777" w:rsidR="00C05D52" w:rsidRDefault="00C05D52" w:rsidP="00C05D52"/>
    <w:p w14:paraId="7EBF4B71" w14:textId="77777777" w:rsidR="00C05D52" w:rsidRDefault="00C05D52" w:rsidP="00C05D52"/>
    <w:p w14:paraId="0BBE21F9" w14:textId="77777777" w:rsidR="00C05D52" w:rsidRDefault="00C05D52" w:rsidP="00C05D52"/>
    <w:p w14:paraId="1829F180" w14:textId="77777777" w:rsidR="00C05D52" w:rsidRDefault="00C05D52" w:rsidP="00C05D52"/>
    <w:p w14:paraId="1C227D24" w14:textId="77777777" w:rsidR="00C05D52" w:rsidRDefault="00C05D52" w:rsidP="00C05D52"/>
    <w:p w14:paraId="7227860C" w14:textId="77777777" w:rsidR="00C05D52" w:rsidRDefault="00C05D52" w:rsidP="00C05D52"/>
    <w:p w14:paraId="714E6E7F" w14:textId="77777777" w:rsidR="00C05D52" w:rsidRDefault="00C05D52" w:rsidP="00C05D52"/>
    <w:p w14:paraId="68F1ECF4" w14:textId="77777777" w:rsidR="00C05D52" w:rsidRDefault="00C05D52" w:rsidP="00C05D52"/>
    <w:p w14:paraId="241C3F5C" w14:textId="77777777" w:rsidR="00C05D52" w:rsidRDefault="00C05D52" w:rsidP="00C05D52"/>
    <w:p w14:paraId="6AB7636B" w14:textId="77777777" w:rsidR="00C05D52" w:rsidRPr="007E3CF3" w:rsidRDefault="00C05D52" w:rsidP="00C05D52">
      <w:pPr>
        <w:rPr>
          <w:b/>
        </w:rPr>
      </w:pPr>
      <w:r w:rsidRPr="007E3CF3">
        <w:rPr>
          <w:b/>
        </w:rPr>
        <w:t>Zitierweise</w:t>
      </w:r>
    </w:p>
    <w:p w14:paraId="186DE627" w14:textId="77777777" w:rsidR="00C05D52" w:rsidRDefault="00C05D52" w:rsidP="00C05D52">
      <w:r>
        <w:t xml:space="preserve">Walkenhorst, Dennis und Ostwaldt, Jens. 2025. Bedroht, beleidigt, belastet: </w:t>
      </w:r>
      <w:r w:rsidRPr="0034652D">
        <w:t>Herausforderungen der psychosozialen Beratung für Amts- und Mandatsträger*innen</w:t>
      </w:r>
      <w:r>
        <w:t xml:space="preserve">. ZepRa. Zeitschrift für praxisorientierte (De-)Radikalisierungsforschung. Bd. 4, Nr. 1: </w:t>
      </w:r>
      <w:r w:rsidRPr="00D51B92">
        <w:t>68-86.</w:t>
      </w:r>
    </w:p>
    <w:p w14:paraId="4B231752" w14:textId="77777777" w:rsidR="00C05D52" w:rsidRDefault="00C05D52" w:rsidP="00C05D52"/>
    <w:sdt>
      <w:sdtPr>
        <w:rPr>
          <w:rFonts w:asciiTheme="minorHAnsi" w:eastAsiaTheme="minorHAnsi" w:hAnsiTheme="minorHAnsi" w:cstheme="minorBidi"/>
          <w:b w:val="0"/>
          <w:bCs w:val="0"/>
          <w:color w:val="auto"/>
          <w:sz w:val="22"/>
          <w:szCs w:val="22"/>
          <w:lang w:val="de-DE" w:eastAsia="en-US"/>
        </w:rPr>
        <w:id w:val="-718054048"/>
        <w:docPartObj>
          <w:docPartGallery w:val="Table of Contents"/>
          <w:docPartUnique/>
        </w:docPartObj>
      </w:sdtPr>
      <w:sdtContent>
        <w:p w14:paraId="3EE6ADD0" w14:textId="77777777" w:rsidR="00C05D52" w:rsidRPr="00A056D5" w:rsidRDefault="00C05D52" w:rsidP="00C05D52">
          <w:pPr>
            <w:pStyle w:val="Inhaltsverzeichnisberschrift"/>
            <w:rPr>
              <w:color w:val="016D72"/>
            </w:rPr>
          </w:pPr>
          <w:r w:rsidRPr="00A056D5">
            <w:rPr>
              <w:color w:val="016D72"/>
            </w:rPr>
            <w:t>Inhaltsverzeichnis</w:t>
          </w:r>
        </w:p>
        <w:p w14:paraId="32A6ED8A" w14:textId="77777777" w:rsidR="00C05D52" w:rsidRDefault="00C05D52" w:rsidP="00C05D52">
          <w:pPr>
            <w:pStyle w:val="Verzeichnis1"/>
            <w:tabs>
              <w:tab w:val="right" w:leader="dot" w:pos="9062"/>
            </w:tabs>
            <w:rPr>
              <w:rFonts w:eastAsiaTheme="minorEastAsia"/>
              <w:noProof/>
              <w:kern w:val="2"/>
              <w:sz w:val="24"/>
              <w:szCs w:val="24"/>
              <w:lang w:eastAsia="de-DE"/>
            </w:rPr>
          </w:pPr>
          <w:r>
            <w:rPr>
              <w:bCs w:val="0"/>
            </w:rPr>
            <w:fldChar w:fldCharType="begin"/>
          </w:r>
          <w:r>
            <w:instrText xml:space="preserve"> TOC \o "1-3" \h \z \u </w:instrText>
          </w:r>
          <w:r>
            <w:rPr>
              <w:bCs w:val="0"/>
            </w:rPr>
            <w:fldChar w:fldCharType="separate"/>
          </w:r>
          <w:hyperlink w:anchor="_Toc216266101" w:history="1">
            <w:r w:rsidRPr="00582367">
              <w:rPr>
                <w:rStyle w:val="Hyperlink"/>
                <w:noProof/>
              </w:rPr>
              <w:t>1. Einleitung</w:t>
            </w:r>
            <w:r>
              <w:rPr>
                <w:noProof/>
                <w:webHidden/>
              </w:rPr>
              <w:tab/>
            </w:r>
            <w:r>
              <w:rPr>
                <w:noProof/>
                <w:webHidden/>
              </w:rPr>
              <w:fldChar w:fldCharType="begin"/>
            </w:r>
            <w:r>
              <w:rPr>
                <w:noProof/>
                <w:webHidden/>
              </w:rPr>
              <w:instrText xml:space="preserve"> PAGEREF _Toc216266101 \h </w:instrText>
            </w:r>
            <w:r>
              <w:rPr>
                <w:noProof/>
                <w:webHidden/>
              </w:rPr>
            </w:r>
            <w:r>
              <w:rPr>
                <w:noProof/>
                <w:webHidden/>
              </w:rPr>
              <w:fldChar w:fldCharType="separate"/>
            </w:r>
            <w:r>
              <w:rPr>
                <w:noProof/>
                <w:webHidden/>
              </w:rPr>
              <w:t>71</w:t>
            </w:r>
            <w:r>
              <w:rPr>
                <w:noProof/>
                <w:webHidden/>
              </w:rPr>
              <w:fldChar w:fldCharType="end"/>
            </w:r>
          </w:hyperlink>
        </w:p>
        <w:p w14:paraId="48F38CF7" w14:textId="77777777" w:rsidR="00C05D52" w:rsidRDefault="00C05D52" w:rsidP="00C05D52">
          <w:pPr>
            <w:pStyle w:val="Verzeichnis1"/>
            <w:tabs>
              <w:tab w:val="right" w:leader="dot" w:pos="9062"/>
            </w:tabs>
            <w:rPr>
              <w:rFonts w:eastAsiaTheme="minorEastAsia"/>
              <w:noProof/>
              <w:kern w:val="2"/>
              <w:sz w:val="24"/>
              <w:szCs w:val="24"/>
              <w:lang w:eastAsia="de-DE"/>
            </w:rPr>
          </w:pPr>
          <w:hyperlink w:anchor="_Toc216266102" w:history="1">
            <w:r w:rsidRPr="00582367">
              <w:rPr>
                <w:rStyle w:val="Hyperlink"/>
                <w:noProof/>
              </w:rPr>
              <w:t>2. Politisches Engagement unter Druck: Eskalation als neue Normalität</w:t>
            </w:r>
            <w:r>
              <w:rPr>
                <w:noProof/>
                <w:webHidden/>
              </w:rPr>
              <w:tab/>
            </w:r>
            <w:r>
              <w:rPr>
                <w:noProof/>
                <w:webHidden/>
              </w:rPr>
              <w:fldChar w:fldCharType="begin"/>
            </w:r>
            <w:r>
              <w:rPr>
                <w:noProof/>
                <w:webHidden/>
              </w:rPr>
              <w:instrText xml:space="preserve"> PAGEREF _Toc216266102 \h </w:instrText>
            </w:r>
            <w:r>
              <w:rPr>
                <w:noProof/>
                <w:webHidden/>
              </w:rPr>
            </w:r>
            <w:r>
              <w:rPr>
                <w:noProof/>
                <w:webHidden/>
              </w:rPr>
              <w:fldChar w:fldCharType="separate"/>
            </w:r>
            <w:r>
              <w:rPr>
                <w:noProof/>
                <w:webHidden/>
              </w:rPr>
              <w:t>72</w:t>
            </w:r>
            <w:r>
              <w:rPr>
                <w:noProof/>
                <w:webHidden/>
              </w:rPr>
              <w:fldChar w:fldCharType="end"/>
            </w:r>
          </w:hyperlink>
        </w:p>
        <w:p w14:paraId="4273C4A9" w14:textId="77777777" w:rsidR="00C05D52" w:rsidRDefault="00C05D52" w:rsidP="00C05D52">
          <w:pPr>
            <w:pStyle w:val="Verzeichnis1"/>
            <w:tabs>
              <w:tab w:val="right" w:leader="dot" w:pos="9062"/>
            </w:tabs>
            <w:rPr>
              <w:rFonts w:eastAsiaTheme="minorEastAsia"/>
              <w:noProof/>
              <w:kern w:val="2"/>
              <w:sz w:val="24"/>
              <w:szCs w:val="24"/>
              <w:lang w:eastAsia="de-DE"/>
            </w:rPr>
          </w:pPr>
          <w:hyperlink w:anchor="_Toc216266103" w:history="1">
            <w:r w:rsidRPr="00582367">
              <w:rPr>
                <w:rStyle w:val="Hyperlink"/>
                <w:noProof/>
              </w:rPr>
              <w:t>3. Psychosoziale Folgen und Versorgungslücken</w:t>
            </w:r>
            <w:r>
              <w:rPr>
                <w:noProof/>
                <w:webHidden/>
              </w:rPr>
              <w:tab/>
            </w:r>
            <w:r>
              <w:rPr>
                <w:noProof/>
                <w:webHidden/>
              </w:rPr>
              <w:fldChar w:fldCharType="begin"/>
            </w:r>
            <w:r>
              <w:rPr>
                <w:noProof/>
                <w:webHidden/>
              </w:rPr>
              <w:instrText xml:space="preserve"> PAGEREF _Toc216266103 \h </w:instrText>
            </w:r>
            <w:r>
              <w:rPr>
                <w:noProof/>
                <w:webHidden/>
              </w:rPr>
            </w:r>
            <w:r>
              <w:rPr>
                <w:noProof/>
                <w:webHidden/>
              </w:rPr>
              <w:fldChar w:fldCharType="separate"/>
            </w:r>
            <w:r>
              <w:rPr>
                <w:noProof/>
                <w:webHidden/>
              </w:rPr>
              <w:t>73</w:t>
            </w:r>
            <w:r>
              <w:rPr>
                <w:noProof/>
                <w:webHidden/>
              </w:rPr>
              <w:fldChar w:fldCharType="end"/>
            </w:r>
          </w:hyperlink>
        </w:p>
        <w:p w14:paraId="6E4C5491" w14:textId="77777777" w:rsidR="00C05D52" w:rsidRDefault="00C05D52" w:rsidP="00C05D52">
          <w:pPr>
            <w:pStyle w:val="Verzeichnis1"/>
            <w:tabs>
              <w:tab w:val="right" w:leader="dot" w:pos="9062"/>
            </w:tabs>
            <w:rPr>
              <w:rFonts w:eastAsiaTheme="minorEastAsia"/>
              <w:noProof/>
              <w:kern w:val="2"/>
              <w:sz w:val="24"/>
              <w:szCs w:val="24"/>
              <w:lang w:eastAsia="de-DE"/>
            </w:rPr>
          </w:pPr>
          <w:hyperlink w:anchor="_Toc216266104" w:history="1">
            <w:r w:rsidRPr="00582367">
              <w:rPr>
                <w:rStyle w:val="Hyperlink"/>
                <w:noProof/>
              </w:rPr>
              <w:t>4. Machtverhältnisse in der Beratung: Eine besondere Herausforderung</w:t>
            </w:r>
            <w:r>
              <w:rPr>
                <w:noProof/>
                <w:webHidden/>
              </w:rPr>
              <w:tab/>
            </w:r>
            <w:r>
              <w:rPr>
                <w:noProof/>
                <w:webHidden/>
              </w:rPr>
              <w:fldChar w:fldCharType="begin"/>
            </w:r>
            <w:r>
              <w:rPr>
                <w:noProof/>
                <w:webHidden/>
              </w:rPr>
              <w:instrText xml:space="preserve"> PAGEREF _Toc216266104 \h </w:instrText>
            </w:r>
            <w:r>
              <w:rPr>
                <w:noProof/>
                <w:webHidden/>
              </w:rPr>
            </w:r>
            <w:r>
              <w:rPr>
                <w:noProof/>
                <w:webHidden/>
              </w:rPr>
              <w:fldChar w:fldCharType="separate"/>
            </w:r>
            <w:r>
              <w:rPr>
                <w:noProof/>
                <w:webHidden/>
              </w:rPr>
              <w:t>76</w:t>
            </w:r>
            <w:r>
              <w:rPr>
                <w:noProof/>
                <w:webHidden/>
              </w:rPr>
              <w:fldChar w:fldCharType="end"/>
            </w:r>
          </w:hyperlink>
        </w:p>
        <w:p w14:paraId="01554254" w14:textId="77777777" w:rsidR="00C05D52" w:rsidRDefault="00C05D52" w:rsidP="00C05D52">
          <w:pPr>
            <w:pStyle w:val="Verzeichnis1"/>
            <w:tabs>
              <w:tab w:val="right" w:leader="dot" w:pos="9062"/>
            </w:tabs>
            <w:rPr>
              <w:rFonts w:eastAsiaTheme="minorEastAsia"/>
              <w:noProof/>
              <w:kern w:val="2"/>
              <w:sz w:val="24"/>
              <w:szCs w:val="24"/>
              <w:lang w:eastAsia="de-DE"/>
            </w:rPr>
          </w:pPr>
          <w:hyperlink w:anchor="_Toc216266105" w:history="1">
            <w:r w:rsidRPr="00582367">
              <w:rPr>
                <w:rStyle w:val="Hyperlink"/>
                <w:noProof/>
              </w:rPr>
              <w:t>5. Multiprofessionelle Ansätze: Soziale Arbeit und Psychotherapie</w:t>
            </w:r>
            <w:r>
              <w:rPr>
                <w:noProof/>
                <w:webHidden/>
              </w:rPr>
              <w:tab/>
            </w:r>
            <w:r>
              <w:rPr>
                <w:noProof/>
                <w:webHidden/>
              </w:rPr>
              <w:fldChar w:fldCharType="begin"/>
            </w:r>
            <w:r>
              <w:rPr>
                <w:noProof/>
                <w:webHidden/>
              </w:rPr>
              <w:instrText xml:space="preserve"> PAGEREF _Toc216266105 \h </w:instrText>
            </w:r>
            <w:r>
              <w:rPr>
                <w:noProof/>
                <w:webHidden/>
              </w:rPr>
            </w:r>
            <w:r>
              <w:rPr>
                <w:noProof/>
                <w:webHidden/>
              </w:rPr>
              <w:fldChar w:fldCharType="separate"/>
            </w:r>
            <w:r>
              <w:rPr>
                <w:noProof/>
                <w:webHidden/>
              </w:rPr>
              <w:t>77</w:t>
            </w:r>
            <w:r>
              <w:rPr>
                <w:noProof/>
                <w:webHidden/>
              </w:rPr>
              <w:fldChar w:fldCharType="end"/>
            </w:r>
          </w:hyperlink>
        </w:p>
        <w:p w14:paraId="3EDE4989" w14:textId="77777777" w:rsidR="00C05D52" w:rsidRDefault="00C05D52" w:rsidP="00C05D52">
          <w:pPr>
            <w:pStyle w:val="Verzeichnis1"/>
            <w:tabs>
              <w:tab w:val="right" w:leader="dot" w:pos="9062"/>
            </w:tabs>
            <w:rPr>
              <w:rFonts w:eastAsiaTheme="minorEastAsia"/>
              <w:noProof/>
              <w:kern w:val="2"/>
              <w:sz w:val="24"/>
              <w:szCs w:val="24"/>
              <w:lang w:eastAsia="de-DE"/>
            </w:rPr>
          </w:pPr>
          <w:hyperlink w:anchor="_Toc216266106" w:history="1">
            <w:r w:rsidRPr="00582367">
              <w:rPr>
                <w:rStyle w:val="Hyperlink"/>
                <w:noProof/>
              </w:rPr>
              <w:t>6. Ausblick</w:t>
            </w:r>
            <w:r>
              <w:rPr>
                <w:noProof/>
                <w:webHidden/>
              </w:rPr>
              <w:tab/>
            </w:r>
            <w:r>
              <w:rPr>
                <w:noProof/>
                <w:webHidden/>
              </w:rPr>
              <w:fldChar w:fldCharType="begin"/>
            </w:r>
            <w:r>
              <w:rPr>
                <w:noProof/>
                <w:webHidden/>
              </w:rPr>
              <w:instrText xml:space="preserve"> PAGEREF _Toc216266106 \h </w:instrText>
            </w:r>
            <w:r>
              <w:rPr>
                <w:noProof/>
                <w:webHidden/>
              </w:rPr>
            </w:r>
            <w:r>
              <w:rPr>
                <w:noProof/>
                <w:webHidden/>
              </w:rPr>
              <w:fldChar w:fldCharType="separate"/>
            </w:r>
            <w:r>
              <w:rPr>
                <w:noProof/>
                <w:webHidden/>
              </w:rPr>
              <w:t>80</w:t>
            </w:r>
            <w:r>
              <w:rPr>
                <w:noProof/>
                <w:webHidden/>
              </w:rPr>
              <w:fldChar w:fldCharType="end"/>
            </w:r>
          </w:hyperlink>
        </w:p>
        <w:p w14:paraId="70B7EF60" w14:textId="77777777" w:rsidR="00C05D52" w:rsidRDefault="00C05D52" w:rsidP="00C05D52">
          <w:pPr>
            <w:pStyle w:val="Verzeichnis1"/>
            <w:tabs>
              <w:tab w:val="right" w:leader="dot" w:pos="9062"/>
            </w:tabs>
            <w:rPr>
              <w:rFonts w:eastAsiaTheme="minorEastAsia"/>
              <w:noProof/>
              <w:kern w:val="2"/>
              <w:sz w:val="24"/>
              <w:szCs w:val="24"/>
              <w:lang w:eastAsia="de-DE"/>
            </w:rPr>
          </w:pPr>
          <w:hyperlink w:anchor="_Toc216266107" w:history="1">
            <w:r w:rsidRPr="00582367">
              <w:rPr>
                <w:rStyle w:val="Hyperlink"/>
                <w:noProof/>
              </w:rPr>
              <w:t>7. Empfehlungen und Impulse: Von der Insel-Lösung zur demokratiepolitischen Infrastruktur</w:t>
            </w:r>
            <w:r>
              <w:rPr>
                <w:noProof/>
                <w:webHidden/>
              </w:rPr>
              <w:tab/>
            </w:r>
            <w:r>
              <w:rPr>
                <w:noProof/>
                <w:webHidden/>
              </w:rPr>
              <w:fldChar w:fldCharType="begin"/>
            </w:r>
            <w:r>
              <w:rPr>
                <w:noProof/>
                <w:webHidden/>
              </w:rPr>
              <w:instrText xml:space="preserve"> PAGEREF _Toc216266107 \h </w:instrText>
            </w:r>
            <w:r>
              <w:rPr>
                <w:noProof/>
                <w:webHidden/>
              </w:rPr>
            </w:r>
            <w:r>
              <w:rPr>
                <w:noProof/>
                <w:webHidden/>
              </w:rPr>
              <w:fldChar w:fldCharType="separate"/>
            </w:r>
            <w:r>
              <w:rPr>
                <w:noProof/>
                <w:webHidden/>
              </w:rPr>
              <w:t>81</w:t>
            </w:r>
            <w:r>
              <w:rPr>
                <w:noProof/>
                <w:webHidden/>
              </w:rPr>
              <w:fldChar w:fldCharType="end"/>
            </w:r>
          </w:hyperlink>
        </w:p>
        <w:p w14:paraId="5B671CAD" w14:textId="77777777" w:rsidR="00C05D52" w:rsidRDefault="00C05D52" w:rsidP="00C05D52">
          <w:pPr>
            <w:pStyle w:val="Verzeichnis1"/>
            <w:tabs>
              <w:tab w:val="right" w:leader="dot" w:pos="9062"/>
            </w:tabs>
            <w:rPr>
              <w:rFonts w:eastAsiaTheme="minorEastAsia"/>
              <w:noProof/>
              <w:kern w:val="2"/>
              <w:sz w:val="24"/>
              <w:szCs w:val="24"/>
              <w:lang w:eastAsia="de-DE"/>
            </w:rPr>
          </w:pPr>
          <w:hyperlink w:anchor="_Toc216266108" w:history="1">
            <w:r w:rsidRPr="00582367">
              <w:rPr>
                <w:rStyle w:val="Hyperlink"/>
                <w:noProof/>
              </w:rPr>
              <w:t>Literaturverzeichnis</w:t>
            </w:r>
            <w:r>
              <w:rPr>
                <w:noProof/>
                <w:webHidden/>
              </w:rPr>
              <w:tab/>
            </w:r>
            <w:r>
              <w:rPr>
                <w:noProof/>
                <w:webHidden/>
              </w:rPr>
              <w:fldChar w:fldCharType="begin"/>
            </w:r>
            <w:r>
              <w:rPr>
                <w:noProof/>
                <w:webHidden/>
              </w:rPr>
              <w:instrText xml:space="preserve"> PAGEREF _Toc216266108 \h </w:instrText>
            </w:r>
            <w:r>
              <w:rPr>
                <w:noProof/>
                <w:webHidden/>
              </w:rPr>
            </w:r>
            <w:r>
              <w:rPr>
                <w:noProof/>
                <w:webHidden/>
              </w:rPr>
              <w:fldChar w:fldCharType="separate"/>
            </w:r>
            <w:r>
              <w:rPr>
                <w:noProof/>
                <w:webHidden/>
              </w:rPr>
              <w:t>84</w:t>
            </w:r>
            <w:r>
              <w:rPr>
                <w:noProof/>
                <w:webHidden/>
              </w:rPr>
              <w:fldChar w:fldCharType="end"/>
            </w:r>
          </w:hyperlink>
        </w:p>
        <w:p w14:paraId="1DC3FAC8" w14:textId="77777777" w:rsidR="00C05D52" w:rsidRDefault="00C05D52" w:rsidP="00C05D52">
          <w:r>
            <w:rPr>
              <w:b/>
              <w:bCs/>
              <w:noProof/>
            </w:rPr>
            <w:fldChar w:fldCharType="end"/>
          </w:r>
        </w:p>
      </w:sdtContent>
    </w:sdt>
    <w:p w14:paraId="02788DA5" w14:textId="77777777" w:rsidR="00C05D52" w:rsidRPr="006511D8" w:rsidRDefault="00C05D52" w:rsidP="00C05D52">
      <w:pPr>
        <w:rPr>
          <w:b/>
        </w:rPr>
      </w:pPr>
      <w:r w:rsidRPr="006511D8">
        <w:rPr>
          <w:b/>
        </w:rPr>
        <w:br w:type="page"/>
      </w:r>
    </w:p>
    <w:p w14:paraId="65DEB540" w14:textId="77777777" w:rsidR="00C05D52" w:rsidRPr="00DF4800" w:rsidRDefault="00C05D52" w:rsidP="00DF4800">
      <w:pPr>
        <w:pStyle w:val="berschrift1"/>
        <w:numPr>
          <w:ilvl w:val="0"/>
          <w:numId w:val="0"/>
        </w:numPr>
        <w:spacing w:before="240" w:after="160"/>
        <w:ind w:left="431" w:hanging="431"/>
        <w:rPr>
          <w:rFonts w:asciiTheme="minorHAnsi" w:hAnsiTheme="minorHAnsi" w:cstheme="minorHAnsi"/>
          <w:color w:val="016D72"/>
          <w:sz w:val="32"/>
          <w:szCs w:val="32"/>
        </w:rPr>
      </w:pPr>
      <w:bookmarkStart w:id="97" w:name="_Toc216266101"/>
      <w:r w:rsidRPr="00DF4800">
        <w:rPr>
          <w:rFonts w:asciiTheme="minorHAnsi" w:hAnsiTheme="minorHAnsi" w:cstheme="minorHAnsi"/>
          <w:color w:val="016D72"/>
          <w:sz w:val="32"/>
          <w:szCs w:val="32"/>
        </w:rPr>
        <w:lastRenderedPageBreak/>
        <w:t>1. Einleitung</w:t>
      </w:r>
      <w:bookmarkEnd w:id="97"/>
    </w:p>
    <w:p w14:paraId="2BDC4EF1" w14:textId="77777777" w:rsidR="00C05D52" w:rsidRPr="00A51383" w:rsidRDefault="00C05D52" w:rsidP="00C05D52">
      <w:pPr>
        <w:pStyle w:val="Textkrper"/>
        <w:spacing w:line="276" w:lineRule="auto"/>
        <w:jc w:val="both"/>
        <w:rPr>
          <w:rFonts w:ascii="Calibri" w:hAnsi="Calibri" w:cs="Calibri"/>
          <w:sz w:val="22"/>
          <w:szCs w:val="22"/>
          <w:lang w:val="de-DE"/>
        </w:rPr>
      </w:pPr>
      <w:r w:rsidRPr="00A51383">
        <w:rPr>
          <w:rFonts w:ascii="Calibri" w:hAnsi="Calibri" w:cs="Calibri"/>
          <w:sz w:val="22"/>
          <w:szCs w:val="22"/>
          <w:lang w:val="de-DE"/>
        </w:rPr>
        <w:t xml:space="preserve">Angriffe, </w:t>
      </w:r>
      <w:r>
        <w:rPr>
          <w:rFonts w:ascii="Calibri" w:hAnsi="Calibri" w:cs="Calibri"/>
          <w:sz w:val="22"/>
          <w:szCs w:val="22"/>
          <w:lang w:val="de-DE"/>
        </w:rPr>
        <w:t>Bed</w:t>
      </w:r>
      <w:r w:rsidRPr="00A51383">
        <w:rPr>
          <w:rFonts w:ascii="Calibri" w:hAnsi="Calibri" w:cs="Calibri"/>
          <w:sz w:val="22"/>
          <w:szCs w:val="22"/>
          <w:lang w:val="de-DE"/>
        </w:rPr>
        <w:t>rohungen und anhaltende Hasskampagnen gegen Amts- und Mandatsträger*innen haben in Deutschland in den vergangenen Jahren deutlich zugenommen. Die Folgen reichen von massiven psychischen Belastungen der Betroffenen über eine eingeschränkte kommunale Handlungsfähigkeit bis hin zu Risiken für die demokratische Resilienz. Aktuelle Zahlen weisen neue Höchststände politisch motivierter Straftaten aus</w:t>
      </w:r>
      <w:r>
        <w:rPr>
          <w:rFonts w:ascii="Calibri" w:hAnsi="Calibri" w:cs="Calibri"/>
          <w:sz w:val="22"/>
          <w:szCs w:val="22"/>
          <w:lang w:val="de-DE"/>
        </w:rPr>
        <w:t xml:space="preserve">, </w:t>
      </w:r>
      <w:r w:rsidRPr="00A51383">
        <w:rPr>
          <w:rFonts w:ascii="Calibri" w:hAnsi="Calibri" w:cs="Calibri"/>
          <w:sz w:val="22"/>
          <w:szCs w:val="22"/>
          <w:lang w:val="de-DE"/>
        </w:rPr>
        <w:t>darunter tausende Delikte gegen politische Amtsträger*innen</w:t>
      </w:r>
      <w:r>
        <w:rPr>
          <w:rFonts w:ascii="Calibri" w:hAnsi="Calibri" w:cs="Calibri"/>
          <w:sz w:val="22"/>
          <w:szCs w:val="22"/>
          <w:lang w:val="de-DE"/>
        </w:rPr>
        <w:t xml:space="preserve"> - vor allem auf kommunaler Ebene</w:t>
      </w:r>
      <w:r w:rsidRPr="00A51383">
        <w:rPr>
          <w:rFonts w:ascii="Calibri" w:hAnsi="Calibri" w:cs="Calibri"/>
          <w:sz w:val="22"/>
          <w:szCs w:val="22"/>
          <w:lang w:val="de-DE"/>
        </w:rPr>
        <w:t xml:space="preserve">. </w:t>
      </w:r>
      <w:r>
        <w:rPr>
          <w:rFonts w:ascii="Calibri" w:hAnsi="Calibri" w:cs="Calibri"/>
          <w:sz w:val="22"/>
          <w:szCs w:val="22"/>
          <w:lang w:val="de-DE"/>
        </w:rPr>
        <w:t>Zugleich</w:t>
      </w:r>
      <w:r w:rsidRPr="00A51383">
        <w:rPr>
          <w:rFonts w:ascii="Calibri" w:hAnsi="Calibri" w:cs="Calibri"/>
          <w:sz w:val="22"/>
          <w:szCs w:val="22"/>
          <w:lang w:val="de-DE"/>
        </w:rPr>
        <w:t xml:space="preserve"> bestehen Versorgungslücken</w:t>
      </w:r>
      <w:r>
        <w:rPr>
          <w:rFonts w:ascii="Calibri" w:hAnsi="Calibri" w:cs="Calibri"/>
          <w:sz w:val="22"/>
          <w:szCs w:val="22"/>
          <w:lang w:val="de-DE"/>
        </w:rPr>
        <w:t xml:space="preserve"> für Betroffene</w:t>
      </w:r>
      <w:r w:rsidRPr="00A51383">
        <w:rPr>
          <w:rFonts w:ascii="Calibri" w:hAnsi="Calibri" w:cs="Calibri"/>
          <w:sz w:val="22"/>
          <w:szCs w:val="22"/>
          <w:lang w:val="de-DE"/>
        </w:rPr>
        <w:t xml:space="preserve">: </w:t>
      </w:r>
      <w:r>
        <w:rPr>
          <w:rFonts w:ascii="Calibri" w:hAnsi="Calibri" w:cs="Calibri"/>
          <w:sz w:val="22"/>
          <w:szCs w:val="22"/>
          <w:lang w:val="de-DE"/>
        </w:rPr>
        <w:t>So</w:t>
      </w:r>
      <w:r w:rsidRPr="00A51383">
        <w:rPr>
          <w:rFonts w:ascii="Calibri" w:hAnsi="Calibri" w:cs="Calibri"/>
          <w:sz w:val="22"/>
          <w:szCs w:val="22"/>
          <w:lang w:val="de-DE"/>
        </w:rPr>
        <w:t xml:space="preserve"> fehlen flächendeckend niedrigschwellige Zugänge, ausreichende Kapazitäten, passgenaue Angebote und strukturierte Weitervermittlungen. </w:t>
      </w:r>
    </w:p>
    <w:p w14:paraId="3DCD333E" w14:textId="77777777" w:rsidR="00C05D52" w:rsidRDefault="00C05D52" w:rsidP="00C05D52">
      <w:pPr>
        <w:pStyle w:val="Textkrper"/>
        <w:spacing w:line="276" w:lineRule="auto"/>
        <w:jc w:val="both"/>
        <w:rPr>
          <w:rFonts w:ascii="Calibri" w:hAnsi="Calibri" w:cs="Calibri"/>
          <w:sz w:val="22"/>
          <w:szCs w:val="22"/>
          <w:lang w:val="de-DE"/>
        </w:rPr>
      </w:pPr>
      <w:r w:rsidRPr="00A51383">
        <w:rPr>
          <w:rFonts w:ascii="Calibri" w:hAnsi="Calibri" w:cs="Calibri"/>
          <w:sz w:val="22"/>
          <w:szCs w:val="22"/>
          <w:lang w:val="de-DE"/>
        </w:rPr>
        <w:t xml:space="preserve">Der vorliegende Beitrag stützt sich in weiten Teilen auf eine von den Autoren durchgeführte Ergebnis- und Prozessevaluation der psychosozialen Beratung der „Zentralen Ansprechstelle für Amts- und Mandatsträger“ (ZAMAT) Baden-Württemberg (Erhebungszeitraum: September 2024 bis Februar 2025; siehe Ostwaldt &amp; Walkenhorst 2025). </w:t>
      </w:r>
      <w:r w:rsidRPr="00EE1478">
        <w:rPr>
          <w:rFonts w:ascii="Calibri" w:hAnsi="Calibri" w:cs="Calibri"/>
          <w:sz w:val="22"/>
          <w:szCs w:val="22"/>
          <w:lang w:val="de-DE"/>
        </w:rPr>
        <w:t xml:space="preserve">Die ZAMAT nimmt sich </w:t>
      </w:r>
      <w:r>
        <w:rPr>
          <w:rFonts w:ascii="Calibri" w:hAnsi="Calibri" w:cs="Calibri"/>
          <w:sz w:val="22"/>
          <w:szCs w:val="22"/>
          <w:lang w:val="de-DE"/>
        </w:rPr>
        <w:t xml:space="preserve">der o. g. </w:t>
      </w:r>
      <w:r w:rsidRPr="00EE1478">
        <w:rPr>
          <w:rFonts w:ascii="Calibri" w:hAnsi="Calibri" w:cs="Calibri"/>
          <w:sz w:val="22"/>
          <w:szCs w:val="22"/>
          <w:lang w:val="de-DE"/>
        </w:rPr>
        <w:t xml:space="preserve">Problemstelle an. Seit dem 17. Juli 2019 </w:t>
      </w:r>
      <w:r>
        <w:rPr>
          <w:rFonts w:ascii="Calibri" w:hAnsi="Calibri" w:cs="Calibri"/>
          <w:sz w:val="22"/>
          <w:szCs w:val="22"/>
          <w:lang w:val="de-DE"/>
        </w:rPr>
        <w:t>bietet</w:t>
      </w:r>
      <w:r w:rsidRPr="00EE1478">
        <w:rPr>
          <w:rFonts w:ascii="Calibri" w:hAnsi="Calibri" w:cs="Calibri"/>
          <w:sz w:val="22"/>
          <w:szCs w:val="22"/>
          <w:lang w:val="de-DE"/>
        </w:rPr>
        <w:t xml:space="preserve"> sie Beratungsangebote für </w:t>
      </w:r>
      <w:r>
        <w:rPr>
          <w:rFonts w:ascii="Calibri" w:hAnsi="Calibri" w:cs="Calibri"/>
          <w:sz w:val="22"/>
          <w:szCs w:val="22"/>
          <w:lang w:val="de-DE"/>
        </w:rPr>
        <w:t>„</w:t>
      </w:r>
      <w:r w:rsidRPr="00EE1478">
        <w:rPr>
          <w:rFonts w:ascii="Calibri" w:hAnsi="Calibri" w:cs="Calibri"/>
          <w:sz w:val="22"/>
          <w:szCs w:val="22"/>
          <w:lang w:val="de-DE"/>
        </w:rPr>
        <w:t xml:space="preserve">Amts- und Mandatstragende, welche sich aufgrund ihres Engagements für die Bürgerinnen und Bürger des Landes Respektlosigkeiten, Anfeindungen und aggressivem Verhalten ausgesetzt sehen; unabhängig davon, ob die zugrundeliegenden Erfahrungen die Schwelle strafrechtlicher Relevanz überschreiten oder bereits eine konkrete Gefahr vorliegt” (Konzeption ZAMAT: 1). Die Beratungsleistungen der Ansprechstelle differenzieren sich, über eine zentrale Hotline vermittelt, in zwei grundlegende Angebotsformen: Eine polizeiliche Beratung, die </w:t>
      </w:r>
      <w:r>
        <w:rPr>
          <w:rFonts w:ascii="Calibri" w:hAnsi="Calibri" w:cs="Calibri"/>
          <w:sz w:val="22"/>
          <w:szCs w:val="22"/>
          <w:lang w:val="de-DE"/>
        </w:rPr>
        <w:t>„</w:t>
      </w:r>
      <w:r w:rsidRPr="00EE1478">
        <w:rPr>
          <w:rFonts w:ascii="Calibri" w:hAnsi="Calibri" w:cs="Calibri"/>
          <w:sz w:val="22"/>
          <w:szCs w:val="22"/>
          <w:lang w:val="de-DE"/>
        </w:rPr>
        <w:t xml:space="preserve">erste Verhaltenshinweise und Hinweise auf darüberhinausgehende Informationsmöglichkeiten” gibt und über </w:t>
      </w:r>
      <w:r>
        <w:rPr>
          <w:rFonts w:ascii="Calibri" w:hAnsi="Calibri" w:cs="Calibri"/>
          <w:sz w:val="22"/>
          <w:szCs w:val="22"/>
          <w:lang w:val="de-DE"/>
        </w:rPr>
        <w:t>„</w:t>
      </w:r>
      <w:r w:rsidRPr="00EE1478">
        <w:rPr>
          <w:rFonts w:ascii="Calibri" w:hAnsi="Calibri" w:cs="Calibri"/>
          <w:sz w:val="22"/>
          <w:szCs w:val="22"/>
          <w:lang w:val="de-DE"/>
        </w:rPr>
        <w:t xml:space="preserve">die Beratungsstrukturen der Landespolizei und die weitere Bearbeitung des Vorganges” informiert (ebd.). Ergänzend wird auch eine psychosoziale Beratung angeboten, vor allem für diejenigen Fälle, in denen </w:t>
      </w:r>
      <w:r>
        <w:rPr>
          <w:rFonts w:ascii="Calibri" w:hAnsi="Calibri" w:cs="Calibri"/>
          <w:sz w:val="22"/>
          <w:szCs w:val="22"/>
          <w:lang w:val="de-DE"/>
        </w:rPr>
        <w:t>„</w:t>
      </w:r>
      <w:r w:rsidRPr="00EE1478">
        <w:rPr>
          <w:rFonts w:ascii="Calibri" w:hAnsi="Calibri" w:cs="Calibri"/>
          <w:sz w:val="22"/>
          <w:szCs w:val="22"/>
          <w:lang w:val="de-DE"/>
        </w:rPr>
        <w:t xml:space="preserve">aufgrund von Drohungen/Beleidigungen, Sachbeschädigungen oder gar körperlichen Angriffen” ein erhöhter Gesprächsbedarf gegeben ist bzw. die </w:t>
      </w:r>
      <w:r>
        <w:rPr>
          <w:rFonts w:ascii="Calibri" w:hAnsi="Calibri" w:cs="Calibri"/>
          <w:sz w:val="22"/>
          <w:szCs w:val="22"/>
          <w:lang w:val="de-DE"/>
        </w:rPr>
        <w:t>„</w:t>
      </w:r>
      <w:r w:rsidRPr="00EE1478">
        <w:rPr>
          <w:rFonts w:ascii="Calibri" w:hAnsi="Calibri" w:cs="Calibri"/>
          <w:sz w:val="22"/>
          <w:szCs w:val="22"/>
          <w:lang w:val="de-DE"/>
        </w:rPr>
        <w:t>gegebenenfalls eine allgemeine Belastungssituation erleben und/oder sogar eine psychische Krise erfahren” (ebd: 2.).</w:t>
      </w:r>
      <w:r>
        <w:rPr>
          <w:rFonts w:ascii="Calibri" w:hAnsi="Calibri" w:cs="Calibri"/>
          <w:sz w:val="22"/>
          <w:szCs w:val="22"/>
          <w:lang w:val="de-DE"/>
        </w:rPr>
        <w:t xml:space="preserve"> </w:t>
      </w:r>
    </w:p>
    <w:p w14:paraId="04339423" w14:textId="77777777" w:rsidR="00C05D52" w:rsidRPr="00A548B3" w:rsidRDefault="00C05D52" w:rsidP="00C05D52">
      <w:pPr>
        <w:pStyle w:val="Textkrper"/>
        <w:spacing w:line="276" w:lineRule="auto"/>
        <w:jc w:val="both"/>
        <w:rPr>
          <w:rFonts w:ascii="Calibri" w:hAnsi="Calibri" w:cs="Calibri"/>
          <w:sz w:val="22"/>
          <w:szCs w:val="22"/>
          <w:lang w:val="de-DE"/>
        </w:rPr>
      </w:pPr>
      <w:r w:rsidRPr="00A548B3">
        <w:rPr>
          <w:rFonts w:ascii="Calibri" w:hAnsi="Calibri" w:cs="Calibri"/>
          <w:sz w:val="22"/>
          <w:szCs w:val="22"/>
          <w:lang w:val="de-DE"/>
        </w:rPr>
        <w:t>Der Beitrag hat zum Ziel, die besonderen</w:t>
      </w:r>
      <w:r>
        <w:rPr>
          <w:rFonts w:ascii="Calibri" w:hAnsi="Calibri" w:cs="Calibri"/>
          <w:sz w:val="22"/>
          <w:szCs w:val="22"/>
          <w:lang w:val="de-DE"/>
        </w:rPr>
        <w:t xml:space="preserve"> </w:t>
      </w:r>
      <w:r w:rsidRPr="00A548B3">
        <w:rPr>
          <w:rFonts w:ascii="Calibri" w:hAnsi="Calibri" w:cs="Calibri"/>
          <w:sz w:val="22"/>
          <w:szCs w:val="22"/>
          <w:lang w:val="de-DE"/>
        </w:rPr>
        <w:t xml:space="preserve">Herausforderungen in der Beratung von Amts- und Mandatsträger*innen transparent zu machen, die Ergebnisse der Evaluation der ZAMAT mit einschlägiger Forschung zu kontextualisieren und daraus Impulse für eine Weiterentwicklung und Professionalisierung </w:t>
      </w:r>
      <w:r>
        <w:rPr>
          <w:rFonts w:ascii="Calibri" w:hAnsi="Calibri" w:cs="Calibri"/>
          <w:sz w:val="22"/>
          <w:szCs w:val="22"/>
          <w:lang w:val="de-DE"/>
        </w:rPr>
        <w:t xml:space="preserve">eines eigenständigen </w:t>
      </w:r>
      <w:r w:rsidRPr="000850E0">
        <w:rPr>
          <w:rFonts w:ascii="Calibri" w:hAnsi="Calibri" w:cs="Calibri"/>
          <w:sz w:val="22"/>
          <w:szCs w:val="22"/>
          <w:lang w:val="de-DE"/>
        </w:rPr>
        <w:t>Praxisfeld</w:t>
      </w:r>
      <w:r>
        <w:rPr>
          <w:rFonts w:ascii="Calibri" w:hAnsi="Calibri" w:cs="Calibri"/>
          <w:sz w:val="22"/>
          <w:szCs w:val="22"/>
          <w:lang w:val="de-DE"/>
        </w:rPr>
        <w:t>es</w:t>
      </w:r>
      <w:r w:rsidRPr="000850E0">
        <w:rPr>
          <w:rFonts w:ascii="Calibri" w:hAnsi="Calibri" w:cs="Calibri"/>
          <w:sz w:val="22"/>
          <w:szCs w:val="22"/>
          <w:lang w:val="de-DE"/>
        </w:rPr>
        <w:t xml:space="preserve"> der psychosozialen Beratung von Amts- und Mandatsträger*innen </w:t>
      </w:r>
      <w:r w:rsidRPr="004C429B">
        <w:rPr>
          <w:rFonts w:ascii="Calibri" w:hAnsi="Calibri" w:cs="Calibri"/>
          <w:sz w:val="22"/>
          <w:szCs w:val="22"/>
          <w:lang w:val="de-DE"/>
        </w:rPr>
        <w:t>abzuleiten</w:t>
      </w:r>
      <w:r w:rsidRPr="00A548B3">
        <w:rPr>
          <w:rFonts w:ascii="Calibri" w:hAnsi="Calibri" w:cs="Calibri"/>
          <w:sz w:val="22"/>
          <w:szCs w:val="22"/>
          <w:lang w:val="de-DE"/>
        </w:rPr>
        <w:t>. Er versteht sich als Diskussionsbeitrag, der die Debatte über eine bedarfsgerechte, wirksame und demokratiepolitisch gebotene Unterstützungsinfrastruktur anregen soll, ohne die Evaluationsergebnisse im engeren Sinne zu referieren.</w:t>
      </w:r>
    </w:p>
    <w:p w14:paraId="49C6C88C" w14:textId="77777777" w:rsidR="00C05D52" w:rsidRPr="00A51383" w:rsidRDefault="00C05D52" w:rsidP="00C05D52">
      <w:pPr>
        <w:pStyle w:val="Textkrper"/>
        <w:spacing w:line="276" w:lineRule="auto"/>
        <w:jc w:val="both"/>
        <w:rPr>
          <w:rFonts w:ascii="Calibri" w:hAnsi="Calibri" w:cs="Calibri"/>
          <w:sz w:val="22"/>
          <w:szCs w:val="22"/>
          <w:lang w:val="de-DE"/>
        </w:rPr>
      </w:pPr>
      <w:r w:rsidRPr="00A548B3">
        <w:rPr>
          <w:rFonts w:ascii="Calibri" w:hAnsi="Calibri" w:cs="Calibri"/>
          <w:sz w:val="22"/>
          <w:szCs w:val="22"/>
          <w:lang w:val="de-DE"/>
        </w:rPr>
        <w:t>Im weiteren Verlauf werden zunächst die Problemlage und bestehende Versorgungslücken präzisiert. Anschließend werden Erkenntnisse der Evaluation entlang zentraler Herausforderungen dargestellt und im Hinblick auf berufsübergreifende Standards diskutiert. Abschließend werden die Bausteine eines integrierten Versorgungsmodells sowie prioritäre Schritte für eine Forschungs- und Infrastrukturagenda</w:t>
      </w:r>
      <w:r>
        <w:rPr>
          <w:rFonts w:ascii="Calibri" w:hAnsi="Calibri" w:cs="Calibri"/>
          <w:sz w:val="22"/>
          <w:szCs w:val="22"/>
          <w:lang w:val="de-DE"/>
        </w:rPr>
        <w:t xml:space="preserve"> im Rahmen von konkreten Empfehlungen und Impulsen</w:t>
      </w:r>
      <w:r w:rsidRPr="00A548B3">
        <w:rPr>
          <w:rFonts w:ascii="Calibri" w:hAnsi="Calibri" w:cs="Calibri"/>
          <w:sz w:val="22"/>
          <w:szCs w:val="22"/>
          <w:lang w:val="de-DE"/>
        </w:rPr>
        <w:t xml:space="preserve"> skizziert.</w:t>
      </w:r>
    </w:p>
    <w:p w14:paraId="6A0887C9" w14:textId="77777777" w:rsidR="00C05D52" w:rsidRDefault="00C05D52" w:rsidP="00C05D52">
      <w:r>
        <w:br w:type="page"/>
      </w:r>
    </w:p>
    <w:p w14:paraId="644E1D8F" w14:textId="77777777" w:rsidR="00C05D52" w:rsidRPr="002469AF" w:rsidRDefault="00C05D52" w:rsidP="002469AF">
      <w:pPr>
        <w:pStyle w:val="berschrift1"/>
        <w:numPr>
          <w:ilvl w:val="0"/>
          <w:numId w:val="0"/>
        </w:numPr>
        <w:spacing w:before="240" w:after="160"/>
        <w:ind w:left="431" w:hanging="431"/>
        <w:rPr>
          <w:rFonts w:asciiTheme="minorHAnsi" w:hAnsiTheme="minorHAnsi" w:cstheme="minorHAnsi"/>
          <w:color w:val="016D72"/>
          <w:sz w:val="32"/>
          <w:szCs w:val="32"/>
        </w:rPr>
      </w:pPr>
      <w:bookmarkStart w:id="98" w:name="_Toc216266102"/>
      <w:r w:rsidRPr="002469AF">
        <w:rPr>
          <w:rFonts w:asciiTheme="minorHAnsi" w:hAnsiTheme="minorHAnsi" w:cstheme="minorHAnsi"/>
          <w:color w:val="016D72"/>
          <w:sz w:val="32"/>
          <w:szCs w:val="32"/>
        </w:rPr>
        <w:lastRenderedPageBreak/>
        <w:t>2. Politisches Engagement unter Druck: Eskalation als neue Normalität</w:t>
      </w:r>
      <w:bookmarkEnd w:id="98"/>
    </w:p>
    <w:p w14:paraId="23D0D43D" w14:textId="77777777" w:rsidR="00C05D52" w:rsidRPr="00A51383" w:rsidRDefault="00C05D52" w:rsidP="00C05D52">
      <w:pPr>
        <w:pStyle w:val="Textkrper"/>
        <w:spacing w:line="276" w:lineRule="auto"/>
        <w:jc w:val="both"/>
        <w:rPr>
          <w:rFonts w:ascii="Calibri" w:hAnsi="Calibri" w:cs="Calibri"/>
          <w:sz w:val="22"/>
          <w:szCs w:val="22"/>
          <w:lang w:val="de-DE"/>
        </w:rPr>
      </w:pPr>
      <w:r w:rsidRPr="00A51383">
        <w:rPr>
          <w:rFonts w:ascii="Calibri" w:hAnsi="Calibri" w:cs="Calibri"/>
          <w:sz w:val="22"/>
          <w:szCs w:val="22"/>
          <w:lang w:val="de-DE"/>
        </w:rPr>
        <w:t>Im Januar 2024 bedrohten Unbekannte die Bürgermeisterin von Gengenbach anonym, weil sie sich für Geflüchtete einsetzte</w:t>
      </w:r>
      <w:r>
        <w:rPr>
          <w:rFonts w:ascii="Calibri" w:hAnsi="Calibri" w:cs="Calibri"/>
          <w:sz w:val="22"/>
          <w:szCs w:val="22"/>
          <w:lang w:val="de-DE"/>
        </w:rPr>
        <w:t xml:space="preserve"> (Meyer und Häfele 2025)</w:t>
      </w:r>
      <w:r w:rsidRPr="00A51383">
        <w:rPr>
          <w:rFonts w:ascii="Calibri" w:hAnsi="Calibri" w:cs="Calibri"/>
          <w:sz w:val="22"/>
          <w:szCs w:val="22"/>
          <w:lang w:val="de-DE"/>
        </w:rPr>
        <w:t xml:space="preserve">. Ein sächsischer Kommunalpolitiker </w:t>
      </w:r>
      <w:r>
        <w:rPr>
          <w:rFonts w:ascii="Calibri" w:hAnsi="Calibri" w:cs="Calibri"/>
          <w:sz w:val="22"/>
          <w:szCs w:val="22"/>
          <w:lang w:val="de-DE"/>
        </w:rPr>
        <w:t xml:space="preserve">wurde </w:t>
      </w:r>
      <w:r w:rsidRPr="00A51383">
        <w:rPr>
          <w:rFonts w:ascii="Calibri" w:hAnsi="Calibri" w:cs="Calibri"/>
          <w:sz w:val="22"/>
          <w:szCs w:val="22"/>
          <w:lang w:val="de-DE"/>
        </w:rPr>
        <w:t>202</w:t>
      </w:r>
      <w:r>
        <w:rPr>
          <w:rFonts w:ascii="Calibri" w:hAnsi="Calibri" w:cs="Calibri"/>
          <w:sz w:val="22"/>
          <w:szCs w:val="22"/>
          <w:lang w:val="de-DE"/>
        </w:rPr>
        <w:t>4 im Wahlkampf bedroht und beleidigt (MDR 2024)</w:t>
      </w:r>
      <w:r w:rsidRPr="00A51383">
        <w:rPr>
          <w:rFonts w:ascii="Calibri" w:hAnsi="Calibri" w:cs="Calibri"/>
          <w:sz w:val="22"/>
          <w:szCs w:val="22"/>
          <w:lang w:val="de-DE"/>
        </w:rPr>
        <w:t xml:space="preserve">. </w:t>
      </w:r>
      <w:r>
        <w:rPr>
          <w:rFonts w:ascii="Calibri" w:hAnsi="Calibri" w:cs="Calibri"/>
          <w:sz w:val="22"/>
          <w:szCs w:val="22"/>
          <w:lang w:val="de-DE"/>
        </w:rPr>
        <w:t xml:space="preserve">Am </w:t>
      </w:r>
      <w:r w:rsidRPr="00A51383">
        <w:rPr>
          <w:rFonts w:ascii="Calibri" w:hAnsi="Calibri" w:cs="Calibri"/>
          <w:sz w:val="22"/>
          <w:szCs w:val="22"/>
          <w:lang w:val="de-DE"/>
        </w:rPr>
        <w:t>3. Mai 2024</w:t>
      </w:r>
      <w:r>
        <w:rPr>
          <w:rFonts w:ascii="Calibri" w:hAnsi="Calibri" w:cs="Calibri"/>
          <w:sz w:val="22"/>
          <w:szCs w:val="22"/>
          <w:lang w:val="de-DE"/>
        </w:rPr>
        <w:t xml:space="preserve"> wurde schließlich der </w:t>
      </w:r>
      <w:r w:rsidRPr="00A51383">
        <w:rPr>
          <w:rFonts w:ascii="Calibri" w:hAnsi="Calibri" w:cs="Calibri"/>
          <w:sz w:val="22"/>
          <w:szCs w:val="22"/>
          <w:lang w:val="de-DE"/>
        </w:rPr>
        <w:t xml:space="preserve">SPD-Europaabgeordneten Matthias Ecke in Dresden-Striesen </w:t>
      </w:r>
      <w:r>
        <w:rPr>
          <w:rFonts w:ascii="Calibri" w:hAnsi="Calibri" w:cs="Calibri"/>
          <w:sz w:val="22"/>
          <w:szCs w:val="22"/>
          <w:lang w:val="de-DE"/>
        </w:rPr>
        <w:t>brutal angegriffen (Sächsischer Landtag 2024)</w:t>
      </w:r>
      <w:r w:rsidRPr="00A51383">
        <w:rPr>
          <w:rFonts w:ascii="Calibri" w:hAnsi="Calibri" w:cs="Calibri"/>
          <w:sz w:val="22"/>
          <w:szCs w:val="22"/>
          <w:lang w:val="de-DE"/>
        </w:rPr>
        <w:t xml:space="preserve">. Solche und ähnliche Vorfälle sind keine Ausnahmen mehr, sondern offenbar Ausdruck einer verdichteten Bedrohungslage. </w:t>
      </w:r>
    </w:p>
    <w:p w14:paraId="1D6AE11C" w14:textId="77777777" w:rsidR="00C05D52" w:rsidRDefault="00C05D52" w:rsidP="00C05D52">
      <w:pPr>
        <w:pStyle w:val="Textkrper"/>
        <w:spacing w:line="276" w:lineRule="auto"/>
        <w:jc w:val="both"/>
        <w:rPr>
          <w:rFonts w:ascii="Calibri" w:hAnsi="Calibri" w:cs="Calibri"/>
          <w:sz w:val="22"/>
          <w:szCs w:val="22"/>
          <w:lang w:val="de-DE"/>
        </w:rPr>
      </w:pPr>
      <w:r w:rsidRPr="00A51383">
        <w:rPr>
          <w:rFonts w:ascii="Calibri" w:hAnsi="Calibri" w:cs="Calibri"/>
          <w:sz w:val="22"/>
          <w:szCs w:val="22"/>
          <w:lang w:val="de-DE"/>
        </w:rPr>
        <w:t>Die Zahlen bestätigen den</w:t>
      </w:r>
      <w:r>
        <w:rPr>
          <w:rFonts w:ascii="Calibri" w:hAnsi="Calibri" w:cs="Calibri"/>
          <w:sz w:val="22"/>
          <w:szCs w:val="22"/>
          <w:lang w:val="de-DE"/>
        </w:rPr>
        <w:t xml:space="preserve"> gefühlten</w:t>
      </w:r>
      <w:r w:rsidRPr="00A51383">
        <w:rPr>
          <w:rFonts w:ascii="Calibri" w:hAnsi="Calibri" w:cs="Calibri"/>
          <w:sz w:val="22"/>
          <w:szCs w:val="22"/>
          <w:lang w:val="de-DE"/>
        </w:rPr>
        <w:t xml:space="preserve"> Trend: 2024 erreichte die politisch motivierte Kriminalität (PMK) erneut einen Höchststand. Die Zahl verbaler und körperlicher Angriffe auf Amts- und Mandatsträger*innen</w:t>
      </w:r>
      <w:r>
        <w:rPr>
          <w:rStyle w:val="Funotenzeichen"/>
          <w:rFonts w:ascii="Calibri" w:hAnsi="Calibri" w:cs="Calibri"/>
          <w:sz w:val="22"/>
          <w:szCs w:val="22"/>
          <w:lang w:val="de-DE"/>
        </w:rPr>
        <w:footnoteReference w:id="47"/>
      </w:r>
      <w:r w:rsidRPr="00A51383">
        <w:rPr>
          <w:rFonts w:ascii="Calibri" w:hAnsi="Calibri" w:cs="Calibri"/>
          <w:sz w:val="22"/>
          <w:szCs w:val="22"/>
          <w:lang w:val="de-DE"/>
        </w:rPr>
        <w:t xml:space="preserve"> bewegt sich </w:t>
      </w:r>
      <w:r>
        <w:rPr>
          <w:rFonts w:ascii="Calibri" w:hAnsi="Calibri" w:cs="Calibri"/>
          <w:sz w:val="22"/>
          <w:szCs w:val="22"/>
          <w:lang w:val="de-DE"/>
        </w:rPr>
        <w:t>dabei</w:t>
      </w:r>
      <w:r w:rsidRPr="00A51383">
        <w:rPr>
          <w:rFonts w:ascii="Calibri" w:hAnsi="Calibri" w:cs="Calibri"/>
          <w:sz w:val="22"/>
          <w:szCs w:val="22"/>
          <w:lang w:val="de-DE"/>
        </w:rPr>
        <w:t xml:space="preserve"> nicht erst seit der Corona-Pandemie und ihrer Folgen auf einem konstant hohen Niveau und </w:t>
      </w:r>
      <w:r>
        <w:rPr>
          <w:rFonts w:ascii="Calibri" w:hAnsi="Calibri" w:cs="Calibri"/>
          <w:sz w:val="22"/>
          <w:szCs w:val="22"/>
          <w:lang w:val="de-DE"/>
        </w:rPr>
        <w:t>zeigt jüngst wieder einen ansteigenden Trend</w:t>
      </w:r>
      <w:r w:rsidRPr="00A51383">
        <w:rPr>
          <w:rFonts w:ascii="Calibri" w:hAnsi="Calibri" w:cs="Calibri"/>
          <w:sz w:val="22"/>
          <w:szCs w:val="22"/>
          <w:lang w:val="de-DE"/>
        </w:rPr>
        <w:t xml:space="preserve"> (Bundeskriminalamt 2025). So weisen die in der Statistik der politisch motivierten Kriminalität (PMK) ausgewiesenen Daten zu Angriffen auf Amts- und/oder Mandatsträger*innen allein im Zeitraum von 2023 bis 2024 eine Steigerung von 5.388 (2023) auf 6.059 Fälle im Jahr 2024 aus (Bundeskriminalamt 2025</w:t>
      </w:r>
      <w:r>
        <w:rPr>
          <w:rFonts w:ascii="Calibri" w:hAnsi="Calibri" w:cs="Calibri"/>
          <w:sz w:val="22"/>
          <w:szCs w:val="22"/>
          <w:lang w:val="de-DE"/>
        </w:rPr>
        <w:t>,</w:t>
      </w:r>
      <w:r w:rsidRPr="00A51383">
        <w:rPr>
          <w:rFonts w:ascii="Calibri" w:hAnsi="Calibri" w:cs="Calibri"/>
          <w:sz w:val="22"/>
          <w:szCs w:val="22"/>
          <w:lang w:val="de-DE"/>
        </w:rPr>
        <w:t xml:space="preserve"> 22). Besonders betroffen sind die Bundesländer Bayern, Baden-Württemberg, Nordrhein-Westfalen und Berlin. </w:t>
      </w:r>
    </w:p>
    <w:p w14:paraId="284AA473" w14:textId="77777777" w:rsidR="00C05D52" w:rsidRPr="00A51383" w:rsidRDefault="00C05D52" w:rsidP="00C05D52">
      <w:pPr>
        <w:pStyle w:val="Textkrper"/>
        <w:spacing w:line="276" w:lineRule="auto"/>
        <w:jc w:val="both"/>
        <w:rPr>
          <w:rFonts w:ascii="Calibri" w:hAnsi="Calibri" w:cs="Calibri"/>
          <w:sz w:val="22"/>
          <w:szCs w:val="22"/>
          <w:lang w:val="de-DE"/>
        </w:rPr>
      </w:pPr>
      <w:r w:rsidRPr="00A51383">
        <w:rPr>
          <w:rFonts w:ascii="Calibri" w:hAnsi="Calibri" w:cs="Calibri"/>
          <w:sz w:val="22"/>
          <w:szCs w:val="22"/>
          <w:lang w:val="de-DE"/>
        </w:rPr>
        <w:t xml:space="preserve">Parallel verzeichnet das BKA seit Jahren einen Anstieg politisch motivierter Straftaten im Internet, was die Betroffenen dauerhaft exponiert. Diese Bedrohung betrifft nicht vermeintliche Eliten, sondern stellt ein strukturelles Risiko für die Demokratie und demokratische Beteiligung an der Basis dar. </w:t>
      </w:r>
      <w:r>
        <w:rPr>
          <w:rFonts w:ascii="Calibri" w:hAnsi="Calibri" w:cs="Calibri"/>
          <w:sz w:val="22"/>
          <w:szCs w:val="22"/>
          <w:lang w:val="de-DE"/>
        </w:rPr>
        <w:t xml:space="preserve">Die umfassende Dimension der o. g. Anfeindungen von Amts- und Mandatsträger*innen zeigt sich beispielsweise anhand der rund 700 Strafanzeigen, die </w:t>
      </w:r>
      <w:r w:rsidRPr="00A51383">
        <w:rPr>
          <w:rFonts w:ascii="Calibri" w:hAnsi="Calibri" w:cs="Calibri"/>
          <w:sz w:val="22"/>
          <w:szCs w:val="22"/>
          <w:lang w:val="de-DE"/>
        </w:rPr>
        <w:t>Ex-Vizekanzler Robert Habeck seit April 2023 wegen Hasskriminalität</w:t>
      </w:r>
      <w:r>
        <w:rPr>
          <w:rFonts w:ascii="Calibri" w:hAnsi="Calibri" w:cs="Calibri"/>
          <w:sz w:val="22"/>
          <w:szCs w:val="22"/>
          <w:lang w:val="de-DE"/>
        </w:rPr>
        <w:t xml:space="preserve"> stellte</w:t>
      </w:r>
      <w:r w:rsidRPr="00A51383">
        <w:rPr>
          <w:rFonts w:ascii="Calibri" w:hAnsi="Calibri" w:cs="Calibri"/>
          <w:sz w:val="22"/>
          <w:szCs w:val="22"/>
          <w:lang w:val="de-DE"/>
        </w:rPr>
        <w:t xml:space="preserve">. </w:t>
      </w:r>
      <w:r>
        <w:rPr>
          <w:rFonts w:ascii="Calibri" w:hAnsi="Calibri" w:cs="Calibri"/>
          <w:sz w:val="22"/>
          <w:szCs w:val="22"/>
          <w:lang w:val="de-DE"/>
        </w:rPr>
        <w:t xml:space="preserve">Auf kommunaler Ebene berichten </w:t>
      </w:r>
      <w:r w:rsidRPr="00A51383">
        <w:rPr>
          <w:rFonts w:ascii="Calibri" w:hAnsi="Calibri" w:cs="Calibri"/>
          <w:sz w:val="22"/>
          <w:szCs w:val="22"/>
          <w:lang w:val="de-DE"/>
        </w:rPr>
        <w:t>Mandatsträger</w:t>
      </w:r>
      <w:r>
        <w:rPr>
          <w:rFonts w:ascii="Calibri" w:hAnsi="Calibri" w:cs="Calibri"/>
          <w:sz w:val="22"/>
          <w:szCs w:val="22"/>
          <w:lang w:val="de-DE"/>
        </w:rPr>
        <w:t>*innen</w:t>
      </w:r>
      <w:r w:rsidRPr="00A51383">
        <w:rPr>
          <w:rFonts w:ascii="Calibri" w:hAnsi="Calibri" w:cs="Calibri"/>
          <w:sz w:val="22"/>
          <w:szCs w:val="22"/>
          <w:lang w:val="de-DE"/>
        </w:rPr>
        <w:t>, dass Anfeindungen zu Rücktritten</w:t>
      </w:r>
      <w:r>
        <w:rPr>
          <w:rFonts w:ascii="Calibri" w:hAnsi="Calibri" w:cs="Calibri"/>
          <w:sz w:val="22"/>
          <w:szCs w:val="22"/>
          <w:lang w:val="de-DE"/>
        </w:rPr>
        <w:t xml:space="preserve"> </w:t>
      </w:r>
      <w:r w:rsidRPr="00A51383">
        <w:rPr>
          <w:rFonts w:ascii="Calibri" w:hAnsi="Calibri" w:cs="Calibri"/>
          <w:sz w:val="22"/>
          <w:szCs w:val="22"/>
          <w:lang w:val="de-DE"/>
        </w:rPr>
        <w:t>und Rekrutierungsproblemen führen</w:t>
      </w:r>
      <w:r>
        <w:rPr>
          <w:rFonts w:ascii="Calibri" w:hAnsi="Calibri" w:cs="Calibri"/>
          <w:sz w:val="22"/>
          <w:szCs w:val="22"/>
          <w:lang w:val="de-DE"/>
        </w:rPr>
        <w:t xml:space="preserve">, bzw. dazu, dass Menschen für ein Amt nicht erneut kandidieren: </w:t>
      </w:r>
      <w:r w:rsidRPr="00A51383">
        <w:rPr>
          <w:rFonts w:ascii="Calibri" w:hAnsi="Calibri" w:cs="Calibri"/>
          <w:sz w:val="22"/>
          <w:szCs w:val="22"/>
          <w:lang w:val="de-DE"/>
        </w:rPr>
        <w:t>Aus der Betroffenenperspektive geben laut einer Studie der Heinrich-Böll-Stiftung knapp 60</w:t>
      </w:r>
      <w:r>
        <w:rPr>
          <w:rFonts w:ascii="Calibri" w:hAnsi="Calibri" w:cs="Calibri"/>
          <w:sz w:val="22"/>
          <w:szCs w:val="22"/>
          <w:lang w:val="de-DE"/>
        </w:rPr>
        <w:t xml:space="preserve"> </w:t>
      </w:r>
      <w:r w:rsidRPr="00A51383">
        <w:rPr>
          <w:rFonts w:ascii="Calibri" w:hAnsi="Calibri" w:cs="Calibri"/>
          <w:sz w:val="22"/>
          <w:szCs w:val="22"/>
          <w:lang w:val="de-DE"/>
        </w:rPr>
        <w:t>% der befragten kommunalpolitischen Amts- und Mandatsträger*innen an, Erfahrungen mit Beleidigungen, Bedrohungen oder tätlichen Angriffen gemacht zu haben, und zwar unabhängig von Geschlechtszugehörigkeit oder Migrationshintergrund (Blättle et al. 2022</w:t>
      </w:r>
      <w:r>
        <w:rPr>
          <w:rFonts w:ascii="Calibri" w:hAnsi="Calibri" w:cs="Calibri"/>
          <w:sz w:val="22"/>
          <w:szCs w:val="22"/>
          <w:lang w:val="de-DE"/>
        </w:rPr>
        <w:t>,</w:t>
      </w:r>
      <w:r w:rsidRPr="00A51383">
        <w:rPr>
          <w:rFonts w:ascii="Calibri" w:hAnsi="Calibri" w:cs="Calibri"/>
          <w:sz w:val="22"/>
          <w:szCs w:val="22"/>
          <w:lang w:val="de-DE"/>
        </w:rPr>
        <w:t xml:space="preserve"> 22f.). Mit Blick auf das Land Baden-Württemberg geben 51</w:t>
      </w:r>
      <w:r>
        <w:rPr>
          <w:rFonts w:ascii="Calibri" w:hAnsi="Calibri" w:cs="Calibri"/>
          <w:sz w:val="22"/>
          <w:szCs w:val="22"/>
          <w:lang w:val="de-DE"/>
        </w:rPr>
        <w:t xml:space="preserve"> </w:t>
      </w:r>
      <w:r w:rsidRPr="00A51383">
        <w:rPr>
          <w:rFonts w:ascii="Calibri" w:hAnsi="Calibri" w:cs="Calibri"/>
          <w:sz w:val="22"/>
          <w:szCs w:val="22"/>
          <w:lang w:val="de-DE"/>
        </w:rPr>
        <w:t>% der Befragten an, schon einmal Anfeindungen und Aggressionen ausgesetzt gewesen zu sein (ebd.). Auch die Erhebungen im Rahmen des „Kommunalen Monitoring Hass, Hetze und Gewalt gegenüber Amtsträgerinnen und Amtsträgern“ weisen ähnliche Ergebnisse auf. Hiernach haben allein im Zeitraum von Mai bis Oktober 2022 rund 39</w:t>
      </w:r>
      <w:r>
        <w:rPr>
          <w:rFonts w:ascii="Calibri" w:hAnsi="Calibri" w:cs="Calibri"/>
          <w:sz w:val="22"/>
          <w:szCs w:val="22"/>
          <w:lang w:val="de-DE"/>
        </w:rPr>
        <w:t xml:space="preserve"> </w:t>
      </w:r>
      <w:r w:rsidRPr="00A51383">
        <w:rPr>
          <w:rFonts w:ascii="Calibri" w:hAnsi="Calibri" w:cs="Calibri"/>
          <w:sz w:val="22"/>
          <w:szCs w:val="22"/>
          <w:lang w:val="de-DE"/>
        </w:rPr>
        <w:t xml:space="preserve">% der befragten Amts- und Mandatsträger*innen Anfeindungen erlebt (Eberspach et al. 2022). Weitere Studien </w:t>
      </w:r>
      <w:r>
        <w:rPr>
          <w:rFonts w:ascii="Calibri" w:hAnsi="Calibri" w:cs="Calibri"/>
          <w:sz w:val="22"/>
          <w:szCs w:val="22"/>
          <w:lang w:val="de-DE"/>
        </w:rPr>
        <w:t>bestätigen</w:t>
      </w:r>
      <w:r w:rsidRPr="00A51383">
        <w:rPr>
          <w:rFonts w:ascii="Calibri" w:hAnsi="Calibri" w:cs="Calibri"/>
          <w:sz w:val="22"/>
          <w:szCs w:val="22"/>
          <w:lang w:val="de-DE"/>
        </w:rPr>
        <w:t xml:space="preserve"> diese Befunde</w:t>
      </w:r>
      <w:r>
        <w:rPr>
          <w:rFonts w:ascii="Calibri" w:hAnsi="Calibri" w:cs="Calibri"/>
          <w:sz w:val="22"/>
          <w:szCs w:val="22"/>
          <w:lang w:val="de-DE"/>
        </w:rPr>
        <w:t xml:space="preserve"> </w:t>
      </w:r>
      <w:r w:rsidRPr="00A51383">
        <w:rPr>
          <w:rFonts w:ascii="Calibri" w:hAnsi="Calibri" w:cs="Calibri"/>
          <w:sz w:val="22"/>
          <w:szCs w:val="22"/>
          <w:lang w:val="de-DE"/>
        </w:rPr>
        <w:t>(siehe z.</w:t>
      </w:r>
      <w:r>
        <w:rPr>
          <w:rFonts w:ascii="Calibri" w:hAnsi="Calibri" w:cs="Calibri"/>
          <w:sz w:val="22"/>
          <w:szCs w:val="22"/>
          <w:lang w:val="de-DE"/>
        </w:rPr>
        <w:t xml:space="preserve"> </w:t>
      </w:r>
      <w:r w:rsidRPr="00A51383">
        <w:rPr>
          <w:rFonts w:ascii="Calibri" w:hAnsi="Calibri" w:cs="Calibri"/>
          <w:sz w:val="22"/>
          <w:szCs w:val="22"/>
          <w:lang w:val="de-DE"/>
        </w:rPr>
        <w:t>B. VBRG &amp; BMB 2020 oder Ministerium des Innern und für Kommunales des Landes Brandenburg 2022).</w:t>
      </w:r>
    </w:p>
    <w:p w14:paraId="529388DF" w14:textId="77777777" w:rsidR="00C05D52" w:rsidRDefault="00C05D52" w:rsidP="00C05D52">
      <w:r>
        <w:br w:type="page"/>
      </w:r>
    </w:p>
    <w:p w14:paraId="00F6BC97" w14:textId="77777777" w:rsidR="00C05D52" w:rsidRPr="00522350" w:rsidRDefault="00C05D52" w:rsidP="00522350">
      <w:pPr>
        <w:pStyle w:val="berschrift1"/>
        <w:numPr>
          <w:ilvl w:val="0"/>
          <w:numId w:val="0"/>
        </w:numPr>
        <w:spacing w:before="240"/>
        <w:ind w:left="431" w:hanging="431"/>
        <w:rPr>
          <w:rFonts w:asciiTheme="minorHAnsi" w:hAnsiTheme="minorHAnsi" w:cstheme="minorHAnsi"/>
          <w:color w:val="016D72"/>
          <w:sz w:val="32"/>
          <w:szCs w:val="32"/>
        </w:rPr>
      </w:pPr>
      <w:bookmarkStart w:id="99" w:name="_Toc216266103"/>
      <w:r w:rsidRPr="00522350">
        <w:rPr>
          <w:rFonts w:asciiTheme="minorHAnsi" w:hAnsiTheme="minorHAnsi" w:cstheme="minorHAnsi"/>
          <w:color w:val="016D72"/>
          <w:sz w:val="32"/>
          <w:szCs w:val="32"/>
        </w:rPr>
        <w:lastRenderedPageBreak/>
        <w:t>3. Psychosoziale Folgen und Versorgungslücken</w:t>
      </w:r>
      <w:bookmarkEnd w:id="99"/>
    </w:p>
    <w:p w14:paraId="14AD9DB6" w14:textId="77777777" w:rsidR="00C05D52" w:rsidRPr="00A51383" w:rsidRDefault="00C05D52" w:rsidP="00C05D52">
      <w:pPr>
        <w:pStyle w:val="Textkrper"/>
        <w:spacing w:line="276" w:lineRule="auto"/>
        <w:jc w:val="both"/>
        <w:rPr>
          <w:rFonts w:ascii="Calibri" w:hAnsi="Calibri" w:cs="Calibri"/>
          <w:sz w:val="22"/>
          <w:szCs w:val="22"/>
          <w:lang w:val="de-DE"/>
        </w:rPr>
      </w:pPr>
      <w:r w:rsidRPr="00133C86">
        <w:rPr>
          <w:rFonts w:ascii="Calibri" w:hAnsi="Calibri" w:cs="Calibri"/>
          <w:sz w:val="22"/>
          <w:szCs w:val="22"/>
          <w:lang w:val="de-DE"/>
        </w:rPr>
        <w:t>Die psychosozialen Folgen für Amts- und Mandatsträger</w:t>
      </w:r>
      <w:r>
        <w:rPr>
          <w:rFonts w:ascii="Calibri" w:hAnsi="Calibri" w:cs="Calibri"/>
          <w:sz w:val="22"/>
          <w:szCs w:val="22"/>
          <w:lang w:val="de-DE"/>
        </w:rPr>
        <w:t>*innen</w:t>
      </w:r>
      <w:r w:rsidRPr="00133C86">
        <w:rPr>
          <w:rFonts w:ascii="Calibri" w:hAnsi="Calibri" w:cs="Calibri"/>
          <w:sz w:val="22"/>
          <w:szCs w:val="22"/>
          <w:lang w:val="de-DE"/>
        </w:rPr>
        <w:t xml:space="preserve"> wiegen schwer: Sie leiden unter Angst, Schlafstörungen, Depressionen, Überlastung,</w:t>
      </w:r>
      <w:r>
        <w:rPr>
          <w:rFonts w:ascii="Calibri" w:hAnsi="Calibri" w:cs="Calibri"/>
          <w:sz w:val="22"/>
          <w:szCs w:val="22"/>
          <w:lang w:val="de-DE"/>
        </w:rPr>
        <w:t xml:space="preserve"> was zu</w:t>
      </w:r>
      <w:r w:rsidRPr="00133C86">
        <w:rPr>
          <w:rFonts w:ascii="Calibri" w:hAnsi="Calibri" w:cs="Calibri"/>
          <w:sz w:val="22"/>
          <w:szCs w:val="22"/>
          <w:lang w:val="de-DE"/>
        </w:rPr>
        <w:t xml:space="preserve"> Rückzug und Amtsaufgabe</w:t>
      </w:r>
      <w:r>
        <w:rPr>
          <w:rFonts w:ascii="Calibri" w:hAnsi="Calibri" w:cs="Calibri"/>
          <w:sz w:val="22"/>
          <w:szCs w:val="22"/>
          <w:lang w:val="de-DE"/>
        </w:rPr>
        <w:t xml:space="preserve"> führen kann</w:t>
      </w:r>
      <w:r w:rsidRPr="00133C86">
        <w:rPr>
          <w:rFonts w:ascii="Calibri" w:hAnsi="Calibri" w:cs="Calibri"/>
          <w:sz w:val="22"/>
          <w:szCs w:val="22"/>
          <w:lang w:val="de-DE"/>
        </w:rPr>
        <w:t xml:space="preserve"> – Belastungen, die auch ihr privates Umfeld treffen. Studien zur kommunalen Ebene und Fallanalysen belegen, dass ständige digitale Belästigung, der Druck, in der öffentlichen Rolle stets zu funktionieren, und Sicherheitsbedenken die Situation zusätzlich verschärfen </w:t>
      </w:r>
      <w:r w:rsidRPr="00A51383">
        <w:rPr>
          <w:rFonts w:ascii="Calibri" w:hAnsi="Calibri" w:cs="Calibri"/>
          <w:sz w:val="22"/>
          <w:szCs w:val="22"/>
          <w:lang w:val="de-DE"/>
        </w:rPr>
        <w:t>(Blättle et al. 2022; Eberspach et al. 202</w:t>
      </w:r>
      <w:r>
        <w:rPr>
          <w:rFonts w:ascii="Calibri" w:hAnsi="Calibri" w:cs="Calibri"/>
          <w:sz w:val="22"/>
          <w:szCs w:val="22"/>
          <w:lang w:val="de-DE"/>
        </w:rPr>
        <w:t>2</w:t>
      </w:r>
      <w:r w:rsidRPr="00A51383">
        <w:rPr>
          <w:rFonts w:ascii="Calibri" w:hAnsi="Calibri" w:cs="Calibri"/>
          <w:sz w:val="22"/>
          <w:szCs w:val="22"/>
          <w:lang w:val="de-DE"/>
        </w:rPr>
        <w:t xml:space="preserve">). </w:t>
      </w:r>
      <w:r>
        <w:rPr>
          <w:rFonts w:ascii="Calibri" w:hAnsi="Calibri" w:cs="Calibri"/>
          <w:sz w:val="22"/>
          <w:szCs w:val="22"/>
          <w:lang w:val="de-DE"/>
        </w:rPr>
        <w:t>Auch d</w:t>
      </w:r>
      <w:r w:rsidRPr="000850E0">
        <w:rPr>
          <w:rFonts w:ascii="Calibri" w:hAnsi="Calibri" w:cs="Calibri"/>
          <w:sz w:val="22"/>
          <w:szCs w:val="22"/>
          <w:lang w:val="de-DE"/>
        </w:rPr>
        <w:t>eshalb spricht man in Beratungen oft über den Konflikt zwischen öffentlicher Macht und privater Verletzlichkeit.</w:t>
      </w:r>
      <w:r>
        <w:rPr>
          <w:rFonts w:ascii="Calibri" w:hAnsi="Calibri" w:cs="Calibri"/>
          <w:sz w:val="22"/>
          <w:szCs w:val="22"/>
          <w:lang w:val="de-DE"/>
        </w:rPr>
        <w:t xml:space="preserve"> </w:t>
      </w:r>
    </w:p>
    <w:p w14:paraId="63881314" w14:textId="77777777" w:rsidR="00C05D52" w:rsidRPr="0062494E" w:rsidRDefault="00C05D52" w:rsidP="00C05D52">
      <w:pPr>
        <w:pStyle w:val="Textkrper"/>
        <w:spacing w:line="276" w:lineRule="auto"/>
        <w:jc w:val="both"/>
        <w:rPr>
          <w:rFonts w:ascii="Calibri" w:hAnsi="Calibri" w:cs="Calibri"/>
          <w:sz w:val="22"/>
          <w:szCs w:val="22"/>
          <w:lang w:val="de-DE"/>
        </w:rPr>
      </w:pPr>
      <w:r w:rsidRPr="00A51383">
        <w:rPr>
          <w:rFonts w:ascii="Calibri" w:hAnsi="Calibri" w:cs="Calibri"/>
          <w:sz w:val="22"/>
          <w:szCs w:val="22"/>
          <w:lang w:val="de-DE"/>
        </w:rPr>
        <w:t>Was den Umgang mit den erlebten Angriffen und Bedrohungen betrifft, zeigen sich laut Studienlage</w:t>
      </w:r>
      <w:r>
        <w:rPr>
          <w:rFonts w:ascii="Calibri" w:hAnsi="Calibri" w:cs="Calibri"/>
          <w:sz w:val="22"/>
          <w:szCs w:val="22"/>
          <w:lang w:val="de-DE"/>
        </w:rPr>
        <w:t xml:space="preserve"> vor allem</w:t>
      </w:r>
      <w:r w:rsidRPr="00A51383">
        <w:rPr>
          <w:rFonts w:ascii="Calibri" w:hAnsi="Calibri" w:cs="Calibri"/>
          <w:sz w:val="22"/>
          <w:szCs w:val="22"/>
          <w:lang w:val="de-DE"/>
        </w:rPr>
        <w:t xml:space="preserve"> geschlechtsspezifische Unterschiede: Auch wenn die Mehrzahl der Betroffenen (sowohl männlich als auch weiblich) als wichtigste Umgangs- bzw. Verarbeitungsstrategie den Austausch im Privaten oder mit Kolleg*innen sucht, werden spezifische Hilfs- und Beratungsangebote vor allem von Frauen (22,3</w:t>
      </w:r>
      <w:r>
        <w:rPr>
          <w:rFonts w:ascii="Calibri" w:hAnsi="Calibri" w:cs="Calibri"/>
          <w:sz w:val="22"/>
          <w:szCs w:val="22"/>
          <w:lang w:val="de-DE"/>
        </w:rPr>
        <w:t xml:space="preserve"> </w:t>
      </w:r>
      <w:r w:rsidRPr="00A51383">
        <w:rPr>
          <w:rFonts w:ascii="Calibri" w:hAnsi="Calibri" w:cs="Calibri"/>
          <w:sz w:val="22"/>
          <w:szCs w:val="22"/>
          <w:lang w:val="de-DE"/>
        </w:rPr>
        <w:t>%)</w:t>
      </w:r>
      <w:r>
        <w:rPr>
          <w:rFonts w:ascii="Calibri" w:hAnsi="Calibri" w:cs="Calibri"/>
          <w:sz w:val="22"/>
          <w:szCs w:val="22"/>
          <w:lang w:val="de-DE"/>
        </w:rPr>
        <w:t>, deutlich seltener</w:t>
      </w:r>
      <w:r w:rsidRPr="00A51383">
        <w:rPr>
          <w:rFonts w:ascii="Calibri" w:hAnsi="Calibri" w:cs="Calibri"/>
          <w:sz w:val="22"/>
          <w:szCs w:val="22"/>
          <w:lang w:val="de-DE"/>
        </w:rPr>
        <w:t xml:space="preserve"> von Männern (nur 11,8</w:t>
      </w:r>
      <w:r>
        <w:rPr>
          <w:rFonts w:ascii="Calibri" w:hAnsi="Calibri" w:cs="Calibri"/>
          <w:sz w:val="22"/>
          <w:szCs w:val="22"/>
          <w:lang w:val="de-DE"/>
        </w:rPr>
        <w:t xml:space="preserve"> </w:t>
      </w:r>
      <w:r w:rsidRPr="00A51383">
        <w:rPr>
          <w:rFonts w:ascii="Calibri" w:hAnsi="Calibri" w:cs="Calibri"/>
          <w:sz w:val="22"/>
          <w:szCs w:val="22"/>
          <w:lang w:val="de-DE"/>
        </w:rPr>
        <w:t>% der Betroffenen)</w:t>
      </w:r>
      <w:r>
        <w:rPr>
          <w:rFonts w:ascii="Calibri" w:hAnsi="Calibri" w:cs="Calibri"/>
          <w:sz w:val="22"/>
          <w:szCs w:val="22"/>
          <w:lang w:val="de-DE"/>
        </w:rPr>
        <w:t>,</w:t>
      </w:r>
      <w:r w:rsidRPr="00A51383">
        <w:rPr>
          <w:rFonts w:ascii="Calibri" w:hAnsi="Calibri" w:cs="Calibri"/>
          <w:sz w:val="22"/>
          <w:szCs w:val="22"/>
          <w:lang w:val="de-DE"/>
        </w:rPr>
        <w:t xml:space="preserve"> in Anspruch genommen (Blättle et al. 2022: 33ff.). Berücksichtigt man die erheblichen Auswirkungen auf die physische und psychische Gesundheit und d</w:t>
      </w:r>
      <w:r>
        <w:rPr>
          <w:rFonts w:ascii="Calibri" w:hAnsi="Calibri" w:cs="Calibri"/>
          <w:sz w:val="22"/>
          <w:szCs w:val="22"/>
          <w:lang w:val="de-DE"/>
        </w:rPr>
        <w:t xml:space="preserve">as Ausmaß </w:t>
      </w:r>
      <w:r w:rsidRPr="00A51383">
        <w:rPr>
          <w:rFonts w:ascii="Calibri" w:hAnsi="Calibri" w:cs="Calibri"/>
          <w:sz w:val="22"/>
          <w:szCs w:val="22"/>
          <w:lang w:val="de-DE"/>
        </w:rPr>
        <w:t>der inzwischen nahezu täglich stattfindenden Angriffe, so erschein</w:t>
      </w:r>
      <w:r>
        <w:rPr>
          <w:rFonts w:ascii="Calibri" w:hAnsi="Calibri" w:cs="Calibri"/>
          <w:sz w:val="22"/>
          <w:szCs w:val="22"/>
          <w:lang w:val="de-DE"/>
        </w:rPr>
        <w:t xml:space="preserve">t die Professionalisierung </w:t>
      </w:r>
      <w:r w:rsidRPr="00A51383">
        <w:rPr>
          <w:rFonts w:ascii="Calibri" w:hAnsi="Calibri" w:cs="Calibri"/>
          <w:sz w:val="22"/>
          <w:szCs w:val="22"/>
          <w:lang w:val="de-DE"/>
        </w:rPr>
        <w:t>psychosoziale</w:t>
      </w:r>
      <w:r>
        <w:rPr>
          <w:rFonts w:ascii="Calibri" w:hAnsi="Calibri" w:cs="Calibri"/>
          <w:sz w:val="22"/>
          <w:szCs w:val="22"/>
          <w:lang w:val="de-DE"/>
        </w:rPr>
        <w:t>r</w:t>
      </w:r>
      <w:r w:rsidRPr="00A51383">
        <w:rPr>
          <w:rFonts w:ascii="Calibri" w:hAnsi="Calibri" w:cs="Calibri"/>
          <w:sz w:val="22"/>
          <w:szCs w:val="22"/>
          <w:lang w:val="de-DE"/>
        </w:rPr>
        <w:t xml:space="preserve"> Beratungsangebote, die sich der Zielgruppe der Amts- und Mandatsträger*innen annehmen und diese zur Inanspruchnahme motivieren, dringend notwendig.</w:t>
      </w:r>
      <w:r>
        <w:rPr>
          <w:rStyle w:val="Funotenzeichen"/>
          <w:rFonts w:ascii="Calibri" w:hAnsi="Calibri" w:cs="Calibri"/>
          <w:sz w:val="22"/>
          <w:szCs w:val="22"/>
          <w:lang w:val="de-DE"/>
        </w:rPr>
        <w:footnoteReference w:id="48"/>
      </w:r>
    </w:p>
    <w:p w14:paraId="7650C1F0" w14:textId="77777777" w:rsidR="00C05D52" w:rsidRPr="00A51383" w:rsidRDefault="00C05D52" w:rsidP="00C05D52">
      <w:pPr>
        <w:pStyle w:val="Textkrper"/>
        <w:spacing w:line="276" w:lineRule="auto"/>
        <w:jc w:val="both"/>
        <w:rPr>
          <w:rFonts w:ascii="Calibri" w:hAnsi="Calibri" w:cs="Calibri"/>
          <w:sz w:val="22"/>
          <w:szCs w:val="22"/>
          <w:lang w:val="de-DE"/>
        </w:rPr>
      </w:pPr>
      <w:r w:rsidRPr="00A51383">
        <w:rPr>
          <w:rFonts w:ascii="Calibri" w:hAnsi="Calibri" w:cs="Calibri"/>
          <w:sz w:val="22"/>
          <w:szCs w:val="22"/>
          <w:lang w:val="de-DE"/>
        </w:rPr>
        <w:t>Dabei lassen sich die bestehenden Beratungsangebote</w:t>
      </w:r>
      <w:r>
        <w:rPr>
          <w:rFonts w:ascii="Calibri" w:hAnsi="Calibri" w:cs="Calibri"/>
          <w:sz w:val="22"/>
          <w:szCs w:val="22"/>
          <w:lang w:val="de-DE"/>
        </w:rPr>
        <w:t xml:space="preserve">, die </w:t>
      </w:r>
      <w:r w:rsidRPr="00A51383">
        <w:rPr>
          <w:rFonts w:ascii="Calibri" w:hAnsi="Calibri" w:cs="Calibri"/>
          <w:sz w:val="22"/>
          <w:szCs w:val="22"/>
          <w:lang w:val="de-DE"/>
        </w:rPr>
        <w:t>Amts- und Mandatsträger*innen in Deutschland</w:t>
      </w:r>
      <w:r>
        <w:rPr>
          <w:rFonts w:ascii="Calibri" w:hAnsi="Calibri" w:cs="Calibri"/>
          <w:sz w:val="22"/>
          <w:szCs w:val="22"/>
          <w:lang w:val="de-DE"/>
        </w:rPr>
        <w:t xml:space="preserve"> in Anspruch nehmen können,</w:t>
      </w:r>
      <w:r w:rsidRPr="00A51383">
        <w:rPr>
          <w:rFonts w:ascii="Calibri" w:hAnsi="Calibri" w:cs="Calibri"/>
          <w:sz w:val="22"/>
          <w:szCs w:val="22"/>
          <w:lang w:val="de-DE"/>
        </w:rPr>
        <w:t xml:space="preserve"> in drei Formen unterscheiden</w:t>
      </w:r>
      <w:r>
        <w:rPr>
          <w:rFonts w:ascii="Calibri" w:hAnsi="Calibri" w:cs="Calibri"/>
          <w:sz w:val="22"/>
          <w:szCs w:val="22"/>
          <w:lang w:val="de-DE"/>
        </w:rPr>
        <w:t>.</w:t>
      </w:r>
      <w:r w:rsidRPr="00A51383">
        <w:rPr>
          <w:rFonts w:ascii="Calibri" w:hAnsi="Calibri" w:cs="Calibri"/>
          <w:sz w:val="22"/>
          <w:szCs w:val="22"/>
          <w:lang w:val="de-DE"/>
        </w:rPr>
        <w:t xml:space="preserve"> So wurden in mehreren Bundesländern, angesiedelt bei den Landeskriminalämtern, zentrale Kontaktstellen eingerichtet</w:t>
      </w:r>
      <w:r>
        <w:rPr>
          <w:rFonts w:ascii="Calibri" w:hAnsi="Calibri" w:cs="Calibri"/>
          <w:sz w:val="22"/>
          <w:szCs w:val="22"/>
          <w:lang w:val="de-DE"/>
        </w:rPr>
        <w:t>:</w:t>
      </w:r>
      <w:r w:rsidRPr="00A51383">
        <w:rPr>
          <w:rFonts w:ascii="Calibri" w:hAnsi="Calibri" w:cs="Calibri"/>
          <w:sz w:val="22"/>
          <w:szCs w:val="22"/>
          <w:lang w:val="de-DE"/>
        </w:rPr>
        <w:t xml:space="preserve"> In Sachsen-Anhalt berät bspw. die ZASTEX (Zentrale Ansprechstelle für Opfer (rechts-)extremistischer Bedrohungen) neben Betroffenen von (rechts-)extremistischer Gewalt und Bedrohungen auch Amts- und Mandatsträger*innen mit der Aufgabe des polizeilichen Opferschutzes.</w:t>
      </w:r>
      <w:r w:rsidRPr="00A51383">
        <w:rPr>
          <w:rStyle w:val="Funotenzeichen"/>
          <w:rFonts w:ascii="Calibri" w:hAnsi="Calibri" w:cs="Calibri"/>
          <w:sz w:val="22"/>
          <w:szCs w:val="22"/>
          <w:lang w:val="de-DE"/>
        </w:rPr>
        <w:footnoteReference w:id="49"/>
      </w:r>
      <w:r w:rsidRPr="00A51383">
        <w:rPr>
          <w:rFonts w:ascii="Calibri" w:hAnsi="Calibri" w:cs="Calibri"/>
          <w:sz w:val="22"/>
          <w:szCs w:val="22"/>
          <w:lang w:val="de-DE"/>
        </w:rPr>
        <w:t xml:space="preserve"> In Nordrhein-Westfalen berät das Programm #sicherimDienst insbesondere von Übergriffen und Bedrohungen betroffene Beschäftigte im öffentlichen Dienst und fokussiert sich damit nicht vornehmlich auf Amts- und Mandatsträger*innen.</w:t>
      </w:r>
      <w:r w:rsidRPr="00A51383">
        <w:rPr>
          <w:rStyle w:val="Funotenzeichen"/>
          <w:rFonts w:ascii="Calibri" w:hAnsi="Calibri" w:cs="Calibri"/>
          <w:sz w:val="22"/>
          <w:szCs w:val="22"/>
          <w:lang w:val="de-DE"/>
        </w:rPr>
        <w:footnoteReference w:id="50"/>
      </w:r>
      <w:r w:rsidRPr="00A51383">
        <w:rPr>
          <w:rFonts w:ascii="Calibri" w:hAnsi="Calibri" w:cs="Calibri"/>
          <w:sz w:val="22"/>
          <w:szCs w:val="22"/>
          <w:lang w:val="de-DE"/>
        </w:rPr>
        <w:t xml:space="preserve"> Baden-Württemberg hat mit der „Zentralen Ansprechstelle für Amts- und Mandatsträger“ (ZAMAT) eine Anlaufstelle eingerichtet, die sich explizit an Amts- und Mandatsträger</w:t>
      </w:r>
      <w:r>
        <w:rPr>
          <w:rFonts w:ascii="Calibri" w:hAnsi="Calibri" w:cs="Calibri"/>
          <w:sz w:val="22"/>
          <w:szCs w:val="22"/>
          <w:lang w:val="de-DE"/>
        </w:rPr>
        <w:t>*innen</w:t>
      </w:r>
      <w:r w:rsidRPr="00A51383">
        <w:rPr>
          <w:rFonts w:ascii="Calibri" w:hAnsi="Calibri" w:cs="Calibri"/>
          <w:sz w:val="22"/>
          <w:szCs w:val="22"/>
          <w:lang w:val="de-DE"/>
        </w:rPr>
        <w:t xml:space="preserve"> richtet.</w:t>
      </w:r>
      <w:r>
        <w:rPr>
          <w:rStyle w:val="Funotenzeichen"/>
          <w:rFonts w:ascii="Calibri" w:hAnsi="Calibri" w:cs="Calibri"/>
          <w:sz w:val="22"/>
          <w:szCs w:val="22"/>
          <w:lang w:val="de-DE"/>
        </w:rPr>
        <w:footnoteReference w:id="51"/>
      </w:r>
      <w:r w:rsidRPr="00A51383">
        <w:rPr>
          <w:rFonts w:ascii="Calibri" w:hAnsi="Calibri" w:cs="Calibri"/>
          <w:sz w:val="22"/>
          <w:szCs w:val="22"/>
          <w:lang w:val="de-DE"/>
        </w:rPr>
        <w:t xml:space="preserve"> Als bundesweite Anlaufstelle hat im August 2024 die „Starke Stelle“ ihre Arbeit aufgenommen.</w:t>
      </w:r>
      <w:r w:rsidRPr="00A51383">
        <w:rPr>
          <w:rStyle w:val="Funotenzeichen"/>
          <w:rFonts w:ascii="Calibri" w:hAnsi="Calibri" w:cs="Calibri"/>
          <w:sz w:val="22"/>
          <w:szCs w:val="22"/>
          <w:lang w:val="de-DE"/>
        </w:rPr>
        <w:footnoteReference w:id="52"/>
      </w:r>
      <w:r w:rsidRPr="00A51383">
        <w:rPr>
          <w:rFonts w:ascii="Calibri" w:hAnsi="Calibri" w:cs="Calibri"/>
          <w:sz w:val="22"/>
          <w:szCs w:val="22"/>
          <w:lang w:val="de-DE"/>
        </w:rPr>
        <w:t xml:space="preserve"> Sie fungiert als Verweisberatung an im Netzwerk befindliche Beratungsangebote. </w:t>
      </w:r>
    </w:p>
    <w:p w14:paraId="132D0A47" w14:textId="77777777" w:rsidR="00C05D52" w:rsidRPr="00A51383" w:rsidRDefault="00C05D52" w:rsidP="00C05D52">
      <w:pPr>
        <w:pStyle w:val="Textkrper"/>
        <w:spacing w:line="276" w:lineRule="auto"/>
        <w:jc w:val="both"/>
        <w:rPr>
          <w:rFonts w:ascii="Calibri" w:hAnsi="Calibri" w:cs="Calibri"/>
          <w:sz w:val="22"/>
          <w:szCs w:val="22"/>
          <w:lang w:val="de-DE"/>
        </w:rPr>
      </w:pPr>
      <w:r w:rsidRPr="00A51383">
        <w:rPr>
          <w:rFonts w:ascii="Calibri" w:hAnsi="Calibri" w:cs="Calibri"/>
          <w:sz w:val="22"/>
          <w:szCs w:val="22"/>
          <w:lang w:val="de-DE"/>
        </w:rPr>
        <w:t>Diese teils spezialisierten Beratungsstellen werden durch Angebote ergänzt, die sich dem allgemeinen Opferschutz widmen</w:t>
      </w:r>
      <w:r>
        <w:rPr>
          <w:rFonts w:ascii="Calibri" w:hAnsi="Calibri" w:cs="Calibri"/>
          <w:sz w:val="22"/>
          <w:szCs w:val="22"/>
          <w:lang w:val="de-DE"/>
        </w:rPr>
        <w:t>.</w:t>
      </w:r>
      <w:r w:rsidRPr="00A51383">
        <w:rPr>
          <w:rFonts w:ascii="Calibri" w:hAnsi="Calibri" w:cs="Calibri"/>
          <w:sz w:val="22"/>
          <w:szCs w:val="22"/>
          <w:lang w:val="de-DE"/>
        </w:rPr>
        <w:t xml:space="preserve"> </w:t>
      </w:r>
      <w:r>
        <w:rPr>
          <w:rFonts w:ascii="Calibri" w:hAnsi="Calibri" w:cs="Calibri"/>
          <w:sz w:val="22"/>
          <w:szCs w:val="22"/>
          <w:lang w:val="de-DE"/>
        </w:rPr>
        <w:t>E</w:t>
      </w:r>
      <w:r w:rsidRPr="00A51383">
        <w:rPr>
          <w:rFonts w:ascii="Calibri" w:hAnsi="Calibri" w:cs="Calibri"/>
          <w:sz w:val="22"/>
          <w:szCs w:val="22"/>
          <w:lang w:val="de-DE"/>
        </w:rPr>
        <w:t xml:space="preserve">xemplarisch zu nennen ist hier der Weiße Ring. </w:t>
      </w:r>
      <w:r>
        <w:rPr>
          <w:rFonts w:ascii="Calibri" w:hAnsi="Calibri" w:cs="Calibri"/>
          <w:sz w:val="22"/>
          <w:szCs w:val="22"/>
          <w:lang w:val="de-DE"/>
        </w:rPr>
        <w:t>Außerdem</w:t>
      </w:r>
      <w:r w:rsidRPr="00A51383">
        <w:rPr>
          <w:rFonts w:ascii="Calibri" w:hAnsi="Calibri" w:cs="Calibri"/>
          <w:sz w:val="22"/>
          <w:szCs w:val="22"/>
          <w:lang w:val="de-DE"/>
        </w:rPr>
        <w:t xml:space="preserve"> existieren in Deutschland weitere Beratungsangebote, vornehmlich in zivilgesellschaftlicher Trägerschaft, die Personen und Initiativen beraten und unterstützen, die sich </w:t>
      </w:r>
      <w:r>
        <w:rPr>
          <w:rFonts w:ascii="Calibri" w:hAnsi="Calibri" w:cs="Calibri"/>
          <w:sz w:val="22"/>
          <w:szCs w:val="22"/>
          <w:lang w:val="de-DE"/>
        </w:rPr>
        <w:t xml:space="preserve">generell </w:t>
      </w:r>
      <w:r w:rsidRPr="00A51383">
        <w:rPr>
          <w:rFonts w:ascii="Calibri" w:hAnsi="Calibri" w:cs="Calibri"/>
          <w:sz w:val="22"/>
          <w:szCs w:val="22"/>
          <w:lang w:val="de-DE"/>
        </w:rPr>
        <w:t xml:space="preserve">für Demokratie und Toleranz und </w:t>
      </w:r>
      <w:r w:rsidRPr="00A51383">
        <w:rPr>
          <w:rFonts w:ascii="Calibri" w:hAnsi="Calibri" w:cs="Calibri"/>
          <w:sz w:val="22"/>
          <w:szCs w:val="22"/>
          <w:lang w:val="de-DE"/>
        </w:rPr>
        <w:lastRenderedPageBreak/>
        <w:t>gegen antidemokratische Tendenzen und extremistische Gruppierungen engagieren möchten. Hier seien z.</w:t>
      </w:r>
      <w:r>
        <w:rPr>
          <w:rFonts w:ascii="Calibri" w:hAnsi="Calibri" w:cs="Calibri"/>
          <w:sz w:val="22"/>
          <w:szCs w:val="22"/>
          <w:lang w:val="de-DE"/>
        </w:rPr>
        <w:t xml:space="preserve"> </w:t>
      </w:r>
      <w:r w:rsidRPr="00A51383">
        <w:rPr>
          <w:rFonts w:ascii="Calibri" w:hAnsi="Calibri" w:cs="Calibri"/>
          <w:sz w:val="22"/>
          <w:szCs w:val="22"/>
          <w:lang w:val="de-DE"/>
        </w:rPr>
        <w:t>B. die Beratungsnetzwerke gegen Rechtsextremismus und die Mobile Beratung genannt, die in allen Bundesländern aktiv sind.</w:t>
      </w:r>
      <w:r w:rsidRPr="00A51383">
        <w:rPr>
          <w:rStyle w:val="Funotenzeichen"/>
          <w:rFonts w:ascii="Calibri" w:hAnsi="Calibri" w:cs="Calibri"/>
          <w:sz w:val="22"/>
          <w:szCs w:val="22"/>
          <w:lang w:val="de-DE"/>
        </w:rPr>
        <w:footnoteReference w:id="53"/>
      </w:r>
      <w:r w:rsidRPr="00A51383">
        <w:rPr>
          <w:rFonts w:ascii="Calibri" w:hAnsi="Calibri" w:cs="Calibri"/>
          <w:sz w:val="22"/>
          <w:szCs w:val="22"/>
          <w:lang w:val="de-DE"/>
        </w:rPr>
        <w:t xml:space="preserve"> Zudem existieren bundeweit Beratungsstellen für Betroffene von rechter und rassistischer Gewalt.</w:t>
      </w:r>
      <w:r w:rsidRPr="00A51383">
        <w:rPr>
          <w:rStyle w:val="Funotenzeichen"/>
          <w:rFonts w:ascii="Calibri" w:hAnsi="Calibri" w:cs="Calibri"/>
          <w:sz w:val="22"/>
          <w:szCs w:val="22"/>
          <w:lang w:val="de-DE"/>
        </w:rPr>
        <w:footnoteReference w:id="54"/>
      </w:r>
      <w:r w:rsidRPr="00A51383">
        <w:rPr>
          <w:rFonts w:ascii="Calibri" w:hAnsi="Calibri" w:cs="Calibri"/>
          <w:sz w:val="22"/>
          <w:szCs w:val="22"/>
          <w:lang w:val="de-DE"/>
        </w:rPr>
        <w:t xml:space="preserve"> </w:t>
      </w:r>
    </w:p>
    <w:p w14:paraId="41F00376" w14:textId="77777777" w:rsidR="00C05D52" w:rsidRPr="00DF3DAE" w:rsidRDefault="00C05D52" w:rsidP="00C05D52">
      <w:pPr>
        <w:pStyle w:val="Textkrper"/>
        <w:spacing w:line="276" w:lineRule="auto"/>
        <w:jc w:val="both"/>
        <w:rPr>
          <w:rFonts w:ascii="Calibri" w:hAnsi="Calibri" w:cs="Calibri"/>
          <w:sz w:val="22"/>
          <w:szCs w:val="22"/>
          <w:lang w:val="de-DE"/>
        </w:rPr>
      </w:pPr>
      <w:r w:rsidRPr="00A51383">
        <w:rPr>
          <w:rFonts w:ascii="Calibri" w:hAnsi="Calibri" w:cs="Calibri"/>
          <w:sz w:val="22"/>
          <w:szCs w:val="22"/>
          <w:lang w:val="de-DE"/>
        </w:rPr>
        <w:t>Es zeigt sich, dass es trotz zunehmend</w:t>
      </w:r>
      <w:r>
        <w:rPr>
          <w:rFonts w:ascii="Calibri" w:hAnsi="Calibri" w:cs="Calibri"/>
          <w:sz w:val="22"/>
          <w:szCs w:val="22"/>
          <w:lang w:val="de-DE"/>
        </w:rPr>
        <w:t>er Anfeindungen und Übergriffe</w:t>
      </w:r>
      <w:r w:rsidRPr="00A51383">
        <w:rPr>
          <w:rFonts w:ascii="Calibri" w:hAnsi="Calibri" w:cs="Calibri"/>
          <w:sz w:val="22"/>
          <w:szCs w:val="22"/>
          <w:lang w:val="de-DE"/>
        </w:rPr>
        <w:t xml:space="preserve"> und der</w:t>
      </w:r>
      <w:r>
        <w:rPr>
          <w:rFonts w:ascii="Calibri" w:hAnsi="Calibri" w:cs="Calibri"/>
          <w:sz w:val="22"/>
          <w:szCs w:val="22"/>
          <w:lang w:val="de-DE"/>
        </w:rPr>
        <w:t xml:space="preserve"> damit einhergehenden</w:t>
      </w:r>
      <w:r w:rsidRPr="00A51383">
        <w:rPr>
          <w:rFonts w:ascii="Calibri" w:hAnsi="Calibri" w:cs="Calibri"/>
          <w:sz w:val="22"/>
          <w:szCs w:val="22"/>
          <w:lang w:val="de-DE"/>
        </w:rPr>
        <w:t xml:space="preserve"> Notwendigkeit psychosozialer Unterstützung an flächendeckenden Beratungsangeboten für politisch Engagierte fehlt.</w:t>
      </w:r>
      <w:r>
        <w:rPr>
          <w:rStyle w:val="Funotenzeichen"/>
          <w:rFonts w:ascii="Calibri" w:hAnsi="Calibri" w:cs="Calibri"/>
          <w:sz w:val="22"/>
          <w:szCs w:val="22"/>
          <w:lang w:val="de-DE"/>
        </w:rPr>
        <w:footnoteReference w:id="55"/>
      </w:r>
      <w:r w:rsidRPr="00A51383">
        <w:rPr>
          <w:rFonts w:ascii="Calibri" w:hAnsi="Calibri" w:cs="Calibri"/>
          <w:sz w:val="22"/>
          <w:szCs w:val="22"/>
          <w:lang w:val="de-DE"/>
        </w:rPr>
        <w:t xml:space="preserve"> In Deutschland existieren bislang kaum Beratungsangebote, die sich auf von Angriffen betroffene Amts- und Mandatsträger*innen spezialisiert haben. </w:t>
      </w:r>
      <w:r>
        <w:rPr>
          <w:rFonts w:ascii="Calibri" w:hAnsi="Calibri" w:cs="Calibri"/>
          <w:sz w:val="22"/>
          <w:szCs w:val="22"/>
          <w:lang w:val="de-DE"/>
        </w:rPr>
        <w:t xml:space="preserve">Mit Blick auf den beschriebenen hohen Bedarf, können </w:t>
      </w:r>
      <w:r w:rsidRPr="002E3173">
        <w:rPr>
          <w:rFonts w:ascii="Calibri" w:hAnsi="Calibri" w:cs="Calibri"/>
          <w:i/>
          <w:iCs/>
          <w:sz w:val="22"/>
          <w:szCs w:val="22"/>
          <w:lang w:val="de-DE"/>
        </w:rPr>
        <w:t>drei zentrale Defizite</w:t>
      </w:r>
      <w:r>
        <w:rPr>
          <w:rFonts w:ascii="Calibri" w:hAnsi="Calibri" w:cs="Calibri"/>
          <w:sz w:val="22"/>
          <w:szCs w:val="22"/>
          <w:lang w:val="de-DE"/>
        </w:rPr>
        <w:t xml:space="preserve"> des bestehenden Hilfesystems beschrieben werden, durch die e</w:t>
      </w:r>
      <w:r w:rsidRPr="00A51383">
        <w:rPr>
          <w:rFonts w:ascii="Calibri" w:hAnsi="Calibri" w:cs="Calibri"/>
          <w:sz w:val="22"/>
          <w:szCs w:val="22"/>
          <w:lang w:val="de-DE"/>
        </w:rPr>
        <w:t>ine wirksame Versorgung von Amts- und Mandatsträger*innen mit Hilfsangeboten</w:t>
      </w:r>
      <w:r>
        <w:rPr>
          <w:rFonts w:ascii="Calibri" w:hAnsi="Calibri" w:cs="Calibri"/>
          <w:sz w:val="22"/>
          <w:szCs w:val="22"/>
          <w:lang w:val="de-DE"/>
        </w:rPr>
        <w:t xml:space="preserve"> aktuell</w:t>
      </w:r>
      <w:r w:rsidRPr="00A51383">
        <w:rPr>
          <w:rFonts w:ascii="Calibri" w:hAnsi="Calibri" w:cs="Calibri"/>
          <w:sz w:val="22"/>
          <w:szCs w:val="22"/>
          <w:lang w:val="de-DE"/>
        </w:rPr>
        <w:t xml:space="preserve"> behindert wird</w:t>
      </w:r>
      <w:r>
        <w:rPr>
          <w:rFonts w:ascii="Calibri" w:hAnsi="Calibri" w:cs="Calibri"/>
          <w:sz w:val="22"/>
          <w:szCs w:val="22"/>
          <w:lang w:val="de-DE"/>
        </w:rPr>
        <w:t xml:space="preserve">: </w:t>
      </w:r>
    </w:p>
    <w:p w14:paraId="2FC18C27" w14:textId="77777777" w:rsidR="00C05D52" w:rsidRPr="002866F6" w:rsidRDefault="00C05D52" w:rsidP="00C05D52">
      <w:pPr>
        <w:pStyle w:val="Listenabsatz"/>
        <w:numPr>
          <w:ilvl w:val="0"/>
          <w:numId w:val="25"/>
        </w:numPr>
        <w:spacing w:after="160" w:line="259" w:lineRule="auto"/>
        <w:rPr>
          <w:b/>
          <w:bCs/>
          <w:color w:val="016D72"/>
          <w:sz w:val="22"/>
          <w:szCs w:val="22"/>
        </w:rPr>
      </w:pPr>
      <w:r w:rsidRPr="002866F6">
        <w:rPr>
          <w:b/>
          <w:bCs/>
          <w:color w:val="016D72"/>
          <w:sz w:val="22"/>
          <w:szCs w:val="22"/>
        </w:rPr>
        <w:t>Mangel an Hilfsangeboten</w:t>
      </w:r>
    </w:p>
    <w:p w14:paraId="2F2A762E" w14:textId="77777777" w:rsidR="00C05D52" w:rsidRDefault="00C05D52" w:rsidP="00C05D52">
      <w:pPr>
        <w:jc w:val="both"/>
      </w:pPr>
      <w:r>
        <w:t xml:space="preserve">Der grundsätzliche Mangel an psychosozialen Hilfsangeboten in Deutschland (Deutscher Bundestag 2022) führt auch für die hier untersuchte Gruppe der Amts- und Mandatsträger*innen zu erhöhten Wartezeiten, die teils mehrere Monate betragen können und die insbesondere Menschen in akuten Krisen, die sowohl beruflich als auch privat stark gefordert sind, vor große Herausforderungen stellen. Zudem existiert in Deutschland, nachdem die Finanzierung des psychosozialen Beratungsangebots für Amts- und Mandatsträger*innen ZAMAT in Baden-Württemberg eingestellt wurde, aktuell kein zielgruppenspezifisches psychosoziales Beratungsangebot. Die o. g. Beratungsangebote fokussieren allesamt eine grundsätzliche Opfer- bzw. eine vornehmlich polizeilich geprägte Perspektive (im Sinne von Rechtsberatung etc.). Wie im weiteren Verlauf dieses Beitrages gezeigt wird, werden aber aufgrund der spezifischen Rahmenbedingungen spezialisierte Beratungsangebote oder Beratungsnetzwerke notwendiger. </w:t>
      </w:r>
    </w:p>
    <w:p w14:paraId="0B049D87" w14:textId="77777777" w:rsidR="00C05D52" w:rsidRDefault="00C05D52" w:rsidP="00C05D52">
      <w:pPr>
        <w:jc w:val="both"/>
      </w:pPr>
      <w:r>
        <w:t>Die Evaluation der psychosozialen Beratung der ZAMAT zeigt in diesem Zusammenhang, dass auch die unzureichende Verfügbarkeit explizit psychotherapeutischer Behandlungsplätze die psychosoziale Beratung deutlich erschwert, weil der Bedarf die vorhandenen Angebote übersteigt (Ostwaldt und Walkenhorst 2025). Ein zentraler Bestandteil des untersuchten Angebots ist die strukturierte Weitervermittlung von Amts- und Mandatsträger*innen an geeignete Unterstützungsangebote. Auf Grundlage einer individuellen Bedarfsanalyse werden ergänzende Hilfen – insbesondere Psychotherapien – empfohlen und initiiert. Der Zugang erfolgt jedoch über den „regulären“ Weg der Therapieplatzsuche, nicht über spezielle Kanäle oder priorisierte Überweisungen. Für Amts- und Mandatsträger*innen bestehen im therapeutischen Versorgungssystem also keine spezifischen Regelungen. Die defizitäre psychotherapeutische Versorgung in Deutschland wirkt sich deshalb unmittelbar auch auf diese Zielgruppe aus.</w:t>
      </w:r>
    </w:p>
    <w:p w14:paraId="4B1BFD37" w14:textId="77777777" w:rsidR="00C05D52" w:rsidRDefault="00C05D52" w:rsidP="00C05D52">
      <w:r>
        <w:br w:type="page"/>
      </w:r>
    </w:p>
    <w:p w14:paraId="0BCDF12A" w14:textId="77777777" w:rsidR="00C05D52" w:rsidRPr="002866F6" w:rsidRDefault="00C05D52" w:rsidP="00C05D52">
      <w:pPr>
        <w:pStyle w:val="Listenabsatz"/>
        <w:numPr>
          <w:ilvl w:val="0"/>
          <w:numId w:val="25"/>
        </w:numPr>
        <w:spacing w:after="160" w:line="259" w:lineRule="auto"/>
        <w:jc w:val="both"/>
        <w:rPr>
          <w:b/>
          <w:bCs/>
          <w:color w:val="016D72"/>
          <w:sz w:val="22"/>
          <w:szCs w:val="22"/>
        </w:rPr>
      </w:pPr>
      <w:r w:rsidRPr="002866F6">
        <w:rPr>
          <w:b/>
          <w:bCs/>
          <w:color w:val="016D72"/>
          <w:sz w:val="22"/>
          <w:szCs w:val="22"/>
        </w:rPr>
        <w:lastRenderedPageBreak/>
        <w:t>Angst vor Stigmatisierung</w:t>
      </w:r>
    </w:p>
    <w:p w14:paraId="76A984FD" w14:textId="77777777" w:rsidR="00C05D52" w:rsidRDefault="00C05D52" w:rsidP="00C05D52">
      <w:pPr>
        <w:jc w:val="both"/>
        <w:rPr>
          <w:color w:val="000000" w:themeColor="text1"/>
        </w:rPr>
      </w:pPr>
      <w:r w:rsidRPr="00171822">
        <w:rPr>
          <w:color w:val="000000" w:themeColor="text1"/>
        </w:rPr>
        <w:t>Amts- und Mandatsträger*innen sind in Ihrem Tun naturgemäß einer dauerhaften und intensiven öffentlichen Wahrnehmung ausgesetzt. Aus dieser ständigen Exposition heraus berichten sie von teils erheblichen Hemmschwellen, bei Anfeindungen und Bedrohungen ein Beratungsangebot (so es überhaupt existiert) in Anspruch zu nehmen (Ostwaldt und Walkenhorst 2025). Es dominiert zum einen die Sorge, dass die Inanspruchnahme eines Hilfsangebots bekannt wird und politisch zu Ungunsten der Beratungsnehmer*innen instrumentalisiert wird. Zum anderen berichten Amts- und Mandatsträger*innen von Schamgefühlen, die ihnen die Inanspruchnahme erschweren. Hervorgerufen wird dieses Gefühl zum einen durch die Wahrnehmung eines noch immer als stigmatisierend geltenden gesellschaftlichen Diskurses über psychische Gesundheit und zum anderen aus der Schwierigkeit heraus, sich selbst einzugestehen, Herausforderungen im Amt nicht allein bewältigen zu können; ein Gefühl, das den Schilderungen zufolge ein Großteil der Amts- und Mandatsträger*innen nur schwer zulassen kann. Sie berichten von der großen Schwierigkeit, sich in einem von Selbstbestimmung, Anerkennung und Erfolg geprägten Leben die Hilfebedürftigkeit einzugestehen.</w:t>
      </w:r>
    </w:p>
    <w:p w14:paraId="605FC89B" w14:textId="77777777" w:rsidR="00C05D52" w:rsidRPr="002866F6" w:rsidRDefault="00C05D52" w:rsidP="00C05D52">
      <w:pPr>
        <w:pStyle w:val="Listenabsatz"/>
        <w:numPr>
          <w:ilvl w:val="0"/>
          <w:numId w:val="25"/>
        </w:numPr>
        <w:spacing w:after="160" w:line="259" w:lineRule="auto"/>
        <w:jc w:val="both"/>
        <w:rPr>
          <w:b/>
          <w:bCs/>
          <w:color w:val="016D72"/>
          <w:sz w:val="22"/>
          <w:szCs w:val="22"/>
        </w:rPr>
      </w:pPr>
      <w:r w:rsidRPr="002866F6">
        <w:rPr>
          <w:b/>
          <w:bCs/>
          <w:color w:val="016D72"/>
          <w:sz w:val="22"/>
          <w:szCs w:val="22"/>
        </w:rPr>
        <w:t>Fehlende Weitervermittlung</w:t>
      </w:r>
    </w:p>
    <w:p w14:paraId="559FD553" w14:textId="77777777" w:rsidR="00C05D52" w:rsidRPr="00171822" w:rsidRDefault="00C05D52" w:rsidP="00C05D52">
      <w:pPr>
        <w:jc w:val="both"/>
        <w:rPr>
          <w:color w:val="000000" w:themeColor="text1"/>
        </w:rPr>
      </w:pPr>
      <w:r w:rsidRPr="00171822">
        <w:rPr>
          <w:color w:val="000000" w:themeColor="text1"/>
        </w:rPr>
        <w:t xml:space="preserve">Selbst dort, wo Erstberatung existiert, fehlen oft regionale Netzwerke, die eine schnelle Überleitung in weiterführende Angebote wie Psycho- oder Traumatherapie ermöglichen. Die vorhergehenden Ausführungen haben gezeigt, dass die Weitervermittlung in das therapeutische Versorgungsystem insbesondere aufgrund der defizitären Versorgungslage mit psychotherapeutischen Hilfsangeboten schwierig ist. Beratungsnehmer*innen werden jedoch nicht nur an psychotherapeutische Beratungsangebote angebunden, sondern auch an weitere Angebote des Hilfesystems. So zeigt die Evaluation der ZAMAT, dass die Weitervermittlung in weiterführenden Hilfsangebote vor allem funktioniert, wenn sie regional verankert ist; wenn also Beratungs- und Betreuungsdienste in geographischer Nähe der Wohnorte der Amts- und Mandatsträger*innen verfügbar sind. Insbesondere in Flächenbundesländern kann dies eine Herausforderung sein, weshalb Beratungsstellen für Amts- und Mandatsträger*innen einen Fokus auf den Ausbau von Netzwerkstrukturen legen sollten.  </w:t>
      </w:r>
    </w:p>
    <w:p w14:paraId="6FC7A405" w14:textId="77777777" w:rsidR="00C05D52" w:rsidRDefault="00C05D52" w:rsidP="00C05D52">
      <w:pPr>
        <w:jc w:val="both"/>
        <w:rPr>
          <w:color w:val="000000" w:themeColor="text1"/>
        </w:rPr>
      </w:pPr>
      <w:r w:rsidRPr="00171822">
        <w:rPr>
          <w:color w:val="000000" w:themeColor="text1"/>
        </w:rPr>
        <w:t>Zusammenfassend kann bilanziert werden, dass erhebliche psychosoziale Belastungen und strukturelle Versorgungslücken die Inanspruchnahme und Kontinuität von Unterstützungsleistungen durch Amts- und Mandatsträger*innen beeinträchtigen. Diese Befunde verweisen nicht nur auf fehlende Angebote, sondern auch auf die Beziehungsebene der Hilfe: Zugang, Vertrauen und Wirkung der Beratung werden maßgeblich dadurch geprägt, wer, unter welchen Bedingungen und mit welchem Mandat berät. Gerade in Konstellationen, in denen Beratung institutionell angebunden ist (etwa an Polizei- oder Sicherheitsbehörden) oder öffentliche Rollenbilder und Leistungsnormen fortwirken, entstehen asymmetrische Erwartungs- und Machtverhältnisse, die Scham, Offenheit und Entscheidungsfreiheit beeinflussen. Vor diesem Hintergrund richtet der folgende Abschnitt den Fokus auf „Macht in der Beratung“ als eigenständige Herausforderung: Er fragt, wie Mandat, Rollenverständnis, Vertraulichkeit und institutionelle Rahmung Interaktionen strukturieren und welche professionellen, organisatorischen und ethischen Vorkehrungen nötig sind, um diese Asymmetrien zu reflektieren bzw. zu begrenzen.</w:t>
      </w:r>
    </w:p>
    <w:p w14:paraId="58EC4FF9" w14:textId="77777777" w:rsidR="00C05D52" w:rsidRDefault="00C05D52" w:rsidP="00C05D52">
      <w:pPr>
        <w:rPr>
          <w:color w:val="000000" w:themeColor="text1"/>
        </w:rPr>
      </w:pPr>
      <w:r>
        <w:rPr>
          <w:color w:val="000000" w:themeColor="text1"/>
        </w:rPr>
        <w:br w:type="page"/>
      </w:r>
    </w:p>
    <w:p w14:paraId="7CC4DC8B" w14:textId="77777777" w:rsidR="00C05D52" w:rsidRPr="002866F6" w:rsidRDefault="00C05D52" w:rsidP="002866F6">
      <w:pPr>
        <w:pStyle w:val="berschrift1"/>
        <w:numPr>
          <w:ilvl w:val="0"/>
          <w:numId w:val="0"/>
        </w:numPr>
        <w:spacing w:before="240"/>
        <w:ind w:left="431" w:hanging="431"/>
        <w:rPr>
          <w:rFonts w:asciiTheme="minorHAnsi" w:hAnsiTheme="minorHAnsi" w:cstheme="minorHAnsi"/>
          <w:color w:val="016D72"/>
          <w:sz w:val="32"/>
          <w:szCs w:val="32"/>
        </w:rPr>
      </w:pPr>
      <w:bookmarkStart w:id="100" w:name="_Toc216266104"/>
      <w:r w:rsidRPr="002866F6">
        <w:rPr>
          <w:rFonts w:asciiTheme="minorHAnsi" w:hAnsiTheme="minorHAnsi" w:cstheme="minorHAnsi"/>
          <w:color w:val="016D72"/>
          <w:sz w:val="32"/>
          <w:szCs w:val="32"/>
        </w:rPr>
        <w:lastRenderedPageBreak/>
        <w:t>4. Machtverhältnisse in der Beratung: Eine besondere Herausforderung</w:t>
      </w:r>
      <w:bookmarkEnd w:id="100"/>
    </w:p>
    <w:p w14:paraId="274DBF94" w14:textId="77777777" w:rsidR="00C05D52" w:rsidRPr="000850E0" w:rsidRDefault="00C05D52" w:rsidP="00C05D52">
      <w:pPr>
        <w:pStyle w:val="Textkrper"/>
        <w:spacing w:line="276" w:lineRule="auto"/>
        <w:jc w:val="both"/>
        <w:rPr>
          <w:rFonts w:ascii="Calibri" w:hAnsi="Calibri" w:cs="Calibri"/>
          <w:sz w:val="22"/>
          <w:szCs w:val="22"/>
          <w:lang w:val="de-DE"/>
        </w:rPr>
      </w:pPr>
      <w:r w:rsidRPr="00A51383">
        <w:rPr>
          <w:rFonts w:ascii="Calibri" w:hAnsi="Calibri" w:cs="Calibri"/>
          <w:sz w:val="22"/>
          <w:szCs w:val="22"/>
          <w:lang w:val="de-DE"/>
        </w:rPr>
        <w:t xml:space="preserve">Amts- und Mandatsträger*innen erscheinen </w:t>
      </w:r>
      <w:r>
        <w:rPr>
          <w:rFonts w:ascii="Calibri" w:hAnsi="Calibri" w:cs="Calibri"/>
          <w:sz w:val="22"/>
          <w:szCs w:val="22"/>
          <w:lang w:val="de-DE"/>
        </w:rPr>
        <w:t>innerhalb der</w:t>
      </w:r>
      <w:r w:rsidRPr="00A51383">
        <w:rPr>
          <w:rFonts w:ascii="Calibri" w:hAnsi="Calibri" w:cs="Calibri"/>
          <w:sz w:val="22"/>
          <w:szCs w:val="22"/>
          <w:lang w:val="de-DE"/>
        </w:rPr>
        <w:t xml:space="preserve"> Zielgruppe psychosozialer Beratung in mehreren Aspekten</w:t>
      </w:r>
      <w:r>
        <w:rPr>
          <w:rFonts w:ascii="Calibri" w:hAnsi="Calibri" w:cs="Calibri"/>
          <w:sz w:val="22"/>
          <w:szCs w:val="22"/>
          <w:lang w:val="de-DE"/>
        </w:rPr>
        <w:t xml:space="preserve"> als</w:t>
      </w:r>
      <w:r w:rsidRPr="00A51383">
        <w:rPr>
          <w:rFonts w:ascii="Calibri" w:hAnsi="Calibri" w:cs="Calibri"/>
          <w:sz w:val="22"/>
          <w:szCs w:val="22"/>
          <w:lang w:val="de-DE"/>
        </w:rPr>
        <w:t xml:space="preserve"> „besonders“. Neben der Tatsache, dass es sich demographisch um eine </w:t>
      </w:r>
      <w:r>
        <w:rPr>
          <w:rFonts w:ascii="Calibri" w:hAnsi="Calibri" w:cs="Calibri"/>
          <w:sz w:val="22"/>
          <w:szCs w:val="22"/>
          <w:lang w:val="de-DE"/>
        </w:rPr>
        <w:t>hoch</w:t>
      </w:r>
      <w:r w:rsidRPr="00A51383">
        <w:rPr>
          <w:rFonts w:ascii="Calibri" w:hAnsi="Calibri" w:cs="Calibri"/>
          <w:sz w:val="22"/>
          <w:szCs w:val="22"/>
          <w:lang w:val="de-DE"/>
        </w:rPr>
        <w:t xml:space="preserve">diverse Gruppe handelt (bspw. was Geschlecht, Alter, Herkunft, Migrationsgeschichte etc. betrifft), sticht dabei vor allem eine Eigenschaft heraus, die Zielgruppen psychosozialer Beratungsangebote üblicherweise nicht aufweisen: Das Vorhandensein teils umfangreicher Machtquellen und -mittel. </w:t>
      </w:r>
      <w:r w:rsidRPr="000850E0">
        <w:rPr>
          <w:rFonts w:ascii="Calibri" w:hAnsi="Calibri" w:cs="Calibri"/>
          <w:sz w:val="22"/>
          <w:szCs w:val="22"/>
          <w:lang w:val="de-DE"/>
        </w:rPr>
        <w:t>Die Diskussion um Machtverhältnisse in der Beratung ist in der Fachliteratur gut etabliert und gilt grundsätzlich für alle Beratungssituationen (vgl. Sagebiel &amp; Pankofer 2015; Staub-Bernasconi 2018). Die hier vorgenommene Fokussierung auf Amts- und Mandatsträger*innen dient nicht der Behauptung eines exklusiven Machtproblems dieser Zielgruppe, sondern soll verdeutlichen, dass sich die gewohnten Machtasymmetrien in diesem Setting teilweise umkehren können. Diese Umkehrung erzeugt neue professionelle Spannungsfelder, etwa hinsichtlich Rollensicherheit, Vertraulichkeit und Allparteilichkeit.</w:t>
      </w:r>
    </w:p>
    <w:p w14:paraId="6CBB46A3" w14:textId="77777777" w:rsidR="00C05D52" w:rsidRDefault="00C05D52" w:rsidP="00C05D52">
      <w:pPr>
        <w:pStyle w:val="Textkrper"/>
        <w:spacing w:line="276" w:lineRule="auto"/>
        <w:jc w:val="both"/>
        <w:rPr>
          <w:rFonts w:ascii="Calibri" w:hAnsi="Calibri" w:cs="Calibri"/>
          <w:sz w:val="22"/>
          <w:szCs w:val="22"/>
          <w:lang w:val="de-DE"/>
        </w:rPr>
      </w:pPr>
      <w:r w:rsidRPr="00A51383">
        <w:rPr>
          <w:rFonts w:ascii="Calibri" w:hAnsi="Calibri" w:cs="Calibri"/>
          <w:sz w:val="22"/>
          <w:szCs w:val="22"/>
          <w:lang w:val="de-DE"/>
        </w:rPr>
        <w:t xml:space="preserve">In der </w:t>
      </w:r>
      <w:r>
        <w:rPr>
          <w:rFonts w:ascii="Calibri" w:hAnsi="Calibri" w:cs="Calibri"/>
          <w:sz w:val="22"/>
          <w:szCs w:val="22"/>
          <w:lang w:val="de-DE"/>
        </w:rPr>
        <w:t>psychosozialen Beratung</w:t>
      </w:r>
      <w:r w:rsidRPr="00A51383">
        <w:rPr>
          <w:rFonts w:ascii="Calibri" w:hAnsi="Calibri" w:cs="Calibri"/>
          <w:sz w:val="22"/>
          <w:szCs w:val="22"/>
          <w:lang w:val="de-DE"/>
        </w:rPr>
        <w:t xml:space="preserve"> besteht </w:t>
      </w:r>
      <w:r>
        <w:rPr>
          <w:rFonts w:ascii="Calibri" w:hAnsi="Calibri" w:cs="Calibri"/>
          <w:sz w:val="22"/>
          <w:szCs w:val="22"/>
          <w:lang w:val="de-DE"/>
        </w:rPr>
        <w:t>in der Regel</w:t>
      </w:r>
      <w:r w:rsidRPr="00A51383">
        <w:rPr>
          <w:rFonts w:ascii="Calibri" w:hAnsi="Calibri" w:cs="Calibri"/>
          <w:sz w:val="22"/>
          <w:szCs w:val="22"/>
          <w:lang w:val="de-DE"/>
        </w:rPr>
        <w:t xml:space="preserve"> ein Machtgefälle zugunsten der Berater*innen bzw. Therapeut*innen, da sie problembelastete bzw. marginalisierte Personen, in jedem Fall aber Personen mit Hilfsbedarf unterstützen. Bei Amts- und Mandatsträger</w:t>
      </w:r>
      <w:r>
        <w:rPr>
          <w:rFonts w:ascii="Calibri" w:hAnsi="Calibri" w:cs="Calibri"/>
          <w:sz w:val="22"/>
          <w:szCs w:val="22"/>
          <w:lang w:val="de-DE"/>
        </w:rPr>
        <w:t>*inne</w:t>
      </w:r>
      <w:r w:rsidRPr="00A51383">
        <w:rPr>
          <w:rFonts w:ascii="Calibri" w:hAnsi="Calibri" w:cs="Calibri"/>
          <w:sz w:val="22"/>
          <w:szCs w:val="22"/>
          <w:lang w:val="de-DE"/>
        </w:rPr>
        <w:t xml:space="preserve">n kehrt sich dieses Verhältnis um: </w:t>
      </w:r>
      <w:proofErr w:type="gramStart"/>
      <w:r>
        <w:rPr>
          <w:rFonts w:ascii="Calibri" w:hAnsi="Calibri" w:cs="Calibri"/>
          <w:sz w:val="22"/>
          <w:szCs w:val="22"/>
          <w:lang w:val="de-DE"/>
        </w:rPr>
        <w:t xml:space="preserve">Die </w:t>
      </w:r>
      <w:r w:rsidRPr="00A51383">
        <w:rPr>
          <w:rFonts w:ascii="Calibri" w:hAnsi="Calibri" w:cs="Calibri"/>
          <w:sz w:val="22"/>
          <w:szCs w:val="22"/>
          <w:lang w:val="de-DE"/>
        </w:rPr>
        <w:t>Klient</w:t>
      </w:r>
      <w:proofErr w:type="gramEnd"/>
      <w:r w:rsidRPr="00A51383">
        <w:rPr>
          <w:rFonts w:ascii="Calibri" w:hAnsi="Calibri" w:cs="Calibri"/>
          <w:sz w:val="22"/>
          <w:szCs w:val="22"/>
          <w:lang w:val="de-DE"/>
        </w:rPr>
        <w:t>*innen sind formal</w:t>
      </w:r>
      <w:r>
        <w:rPr>
          <w:rFonts w:ascii="Calibri" w:hAnsi="Calibri" w:cs="Calibri"/>
          <w:sz w:val="22"/>
          <w:szCs w:val="22"/>
          <w:lang w:val="de-DE"/>
        </w:rPr>
        <w:t xml:space="preserve"> und mit Blick auf ihre öffentliche Rolle</w:t>
      </w:r>
      <w:r w:rsidRPr="00A51383">
        <w:rPr>
          <w:rFonts w:ascii="Calibri" w:hAnsi="Calibri" w:cs="Calibri"/>
          <w:sz w:val="22"/>
          <w:szCs w:val="22"/>
          <w:lang w:val="de-DE"/>
        </w:rPr>
        <w:t xml:space="preserve"> oft mächtig, sichtbar und politisch einflussreich. </w:t>
      </w:r>
    </w:p>
    <w:p w14:paraId="6791CC0E" w14:textId="77777777" w:rsidR="00C05D52" w:rsidRPr="00A51383" w:rsidRDefault="00C05D52" w:rsidP="00C05D52">
      <w:pPr>
        <w:pStyle w:val="Textkrper"/>
        <w:spacing w:line="276" w:lineRule="auto"/>
        <w:jc w:val="both"/>
        <w:rPr>
          <w:rFonts w:ascii="Calibri" w:hAnsi="Calibri" w:cs="Calibri"/>
          <w:sz w:val="22"/>
          <w:szCs w:val="22"/>
          <w:lang w:val="de-DE"/>
        </w:rPr>
      </w:pPr>
      <w:r w:rsidRPr="00A51383">
        <w:rPr>
          <w:rFonts w:ascii="Calibri" w:hAnsi="Calibri" w:cs="Calibri"/>
          <w:sz w:val="22"/>
          <w:szCs w:val="22"/>
          <w:lang w:val="de-DE"/>
        </w:rPr>
        <w:t xml:space="preserve">Das Vorhandensein unterschiedlicher Machtquellen bzw. Machtmittel aufseiten von </w:t>
      </w:r>
      <w:r>
        <w:rPr>
          <w:rFonts w:ascii="Calibri" w:hAnsi="Calibri" w:cs="Calibri"/>
          <w:sz w:val="22"/>
          <w:szCs w:val="22"/>
          <w:lang w:val="de-DE"/>
        </w:rPr>
        <w:t>p</w:t>
      </w:r>
      <w:r w:rsidRPr="00A51383">
        <w:rPr>
          <w:rFonts w:ascii="Calibri" w:hAnsi="Calibri" w:cs="Calibri"/>
          <w:sz w:val="22"/>
          <w:szCs w:val="22"/>
          <w:lang w:val="de-DE"/>
        </w:rPr>
        <w:t>rofessionell</w:t>
      </w:r>
      <w:r>
        <w:rPr>
          <w:rFonts w:ascii="Calibri" w:hAnsi="Calibri" w:cs="Calibri"/>
          <w:sz w:val="22"/>
          <w:szCs w:val="22"/>
          <w:lang w:val="de-DE"/>
        </w:rPr>
        <w:t xml:space="preserve"> Beratend</w:t>
      </w:r>
      <w:r w:rsidRPr="00A51383">
        <w:rPr>
          <w:rFonts w:ascii="Calibri" w:hAnsi="Calibri" w:cs="Calibri"/>
          <w:sz w:val="22"/>
          <w:szCs w:val="22"/>
          <w:lang w:val="de-DE"/>
        </w:rPr>
        <w:t>en bzw. Adressat*innen stellt vor allem für die Sozialarbeitswissenschaft ein hochrelevantes Thema dar (Staub-Bernasconi 2018</w:t>
      </w:r>
      <w:r>
        <w:rPr>
          <w:rFonts w:ascii="Calibri" w:hAnsi="Calibri" w:cs="Calibri"/>
          <w:sz w:val="22"/>
          <w:szCs w:val="22"/>
          <w:lang w:val="de-DE"/>
        </w:rPr>
        <w:t>,</w:t>
      </w:r>
      <w:r w:rsidRPr="00A51383">
        <w:rPr>
          <w:rFonts w:ascii="Calibri" w:hAnsi="Calibri" w:cs="Calibri"/>
          <w:sz w:val="22"/>
          <w:szCs w:val="22"/>
          <w:lang w:val="de-DE"/>
        </w:rPr>
        <w:t xml:space="preserve"> 436ff.). In diesem Zusammenhang wird von einer nicht immer ausreichend reflektierten, grundlegenden Machtasymmetrie ausgegangen. In der Praxis sozialer Hilfen zeigt sich, dass Adressat*innen in der Regel in nahezu allen Machtdimensionen über geringere Zugänge/Quellen bzw. Mittel verfügen als professionelle Helfer*innen (ebd.). Dabei lassen sich folgende Machtdimensionen unterscheiden:</w:t>
      </w:r>
    </w:p>
    <w:p w14:paraId="5F4E2434" w14:textId="77777777" w:rsidR="00C05D52" w:rsidRPr="00A51383" w:rsidRDefault="00C05D52" w:rsidP="00C05D52">
      <w:pPr>
        <w:pStyle w:val="Textkrper"/>
        <w:numPr>
          <w:ilvl w:val="1"/>
          <w:numId w:val="26"/>
        </w:numPr>
        <w:spacing w:before="0" w:after="0" w:line="276" w:lineRule="auto"/>
        <w:rPr>
          <w:rFonts w:ascii="Calibri" w:hAnsi="Calibri" w:cs="Calibri"/>
          <w:sz w:val="22"/>
          <w:szCs w:val="22"/>
          <w:lang w:val="de-DE"/>
        </w:rPr>
      </w:pPr>
      <w:r w:rsidRPr="00A51383">
        <w:rPr>
          <w:rFonts w:ascii="Calibri" w:hAnsi="Calibri" w:cs="Calibri"/>
          <w:sz w:val="22"/>
          <w:szCs w:val="22"/>
          <w:lang w:val="de-DE"/>
        </w:rPr>
        <w:t>Zugang zu Hilfsressourcen und Organisationsmacht (Sagebiel &amp; Pankofer 2015</w:t>
      </w:r>
      <w:r>
        <w:rPr>
          <w:rFonts w:ascii="Calibri" w:hAnsi="Calibri" w:cs="Calibri"/>
          <w:sz w:val="22"/>
          <w:szCs w:val="22"/>
          <w:lang w:val="de-DE"/>
        </w:rPr>
        <w:t>,</w:t>
      </w:r>
      <w:r w:rsidRPr="00A51383">
        <w:rPr>
          <w:rFonts w:ascii="Calibri" w:hAnsi="Calibri" w:cs="Calibri"/>
          <w:sz w:val="22"/>
          <w:szCs w:val="22"/>
          <w:lang w:val="de-DE"/>
        </w:rPr>
        <w:t xml:space="preserve"> 52) </w:t>
      </w:r>
    </w:p>
    <w:p w14:paraId="53CFC70A" w14:textId="77777777" w:rsidR="00C05D52" w:rsidRPr="00A51383" w:rsidRDefault="00C05D52" w:rsidP="00C05D52">
      <w:pPr>
        <w:pStyle w:val="Textkrper"/>
        <w:numPr>
          <w:ilvl w:val="1"/>
          <w:numId w:val="26"/>
        </w:numPr>
        <w:spacing w:before="0" w:after="0" w:line="276" w:lineRule="auto"/>
        <w:rPr>
          <w:rFonts w:ascii="Calibri" w:hAnsi="Calibri" w:cs="Calibri"/>
          <w:sz w:val="22"/>
          <w:szCs w:val="22"/>
          <w:lang w:val="de-DE"/>
        </w:rPr>
      </w:pPr>
      <w:r w:rsidRPr="00A51383">
        <w:rPr>
          <w:rFonts w:ascii="Calibri" w:hAnsi="Calibri" w:cs="Calibri"/>
          <w:sz w:val="22"/>
          <w:szCs w:val="22"/>
          <w:lang w:val="de-DE"/>
        </w:rPr>
        <w:t>Informationen und Wissen (Imbusch 2016</w:t>
      </w:r>
      <w:r>
        <w:rPr>
          <w:rFonts w:ascii="Calibri" w:hAnsi="Calibri" w:cs="Calibri"/>
          <w:sz w:val="22"/>
          <w:szCs w:val="22"/>
          <w:lang w:val="de-DE"/>
        </w:rPr>
        <w:t>,</w:t>
      </w:r>
      <w:r w:rsidRPr="00A51383">
        <w:rPr>
          <w:rFonts w:ascii="Calibri" w:hAnsi="Calibri" w:cs="Calibri"/>
          <w:sz w:val="22"/>
          <w:szCs w:val="22"/>
          <w:lang w:val="de-DE"/>
        </w:rPr>
        <w:t xml:space="preserve"> 204)</w:t>
      </w:r>
    </w:p>
    <w:p w14:paraId="6513B6E7" w14:textId="77777777" w:rsidR="00C05D52" w:rsidRPr="00A51383" w:rsidRDefault="00C05D52" w:rsidP="00C05D52">
      <w:pPr>
        <w:pStyle w:val="Textkrper"/>
        <w:numPr>
          <w:ilvl w:val="1"/>
          <w:numId w:val="26"/>
        </w:numPr>
        <w:spacing w:before="0" w:after="0" w:line="276" w:lineRule="auto"/>
        <w:rPr>
          <w:rFonts w:ascii="Calibri" w:hAnsi="Calibri" w:cs="Calibri"/>
          <w:sz w:val="22"/>
          <w:szCs w:val="22"/>
          <w:lang w:val="de-DE"/>
        </w:rPr>
      </w:pPr>
      <w:r w:rsidRPr="00A51383">
        <w:rPr>
          <w:rFonts w:ascii="Calibri" w:hAnsi="Calibri" w:cs="Calibri"/>
          <w:sz w:val="22"/>
          <w:szCs w:val="22"/>
          <w:lang w:val="de-DE"/>
        </w:rPr>
        <w:t>Rollensicherheit (Krieger 20</w:t>
      </w:r>
      <w:r>
        <w:rPr>
          <w:rFonts w:ascii="Calibri" w:hAnsi="Calibri" w:cs="Calibri"/>
          <w:sz w:val="22"/>
          <w:szCs w:val="22"/>
          <w:lang w:val="de-DE"/>
        </w:rPr>
        <w:t>21,</w:t>
      </w:r>
      <w:r w:rsidRPr="00A51383">
        <w:rPr>
          <w:rFonts w:ascii="Calibri" w:hAnsi="Calibri" w:cs="Calibri"/>
          <w:sz w:val="22"/>
          <w:szCs w:val="22"/>
          <w:lang w:val="de-DE"/>
        </w:rPr>
        <w:t xml:space="preserve"> 70) </w:t>
      </w:r>
    </w:p>
    <w:p w14:paraId="405CA7D1" w14:textId="77777777" w:rsidR="00C05D52" w:rsidRPr="00A51383" w:rsidRDefault="00C05D52" w:rsidP="00C05D52">
      <w:pPr>
        <w:pStyle w:val="Textkrper"/>
        <w:numPr>
          <w:ilvl w:val="1"/>
          <w:numId w:val="26"/>
        </w:numPr>
        <w:spacing w:before="0" w:after="0" w:line="276" w:lineRule="auto"/>
        <w:rPr>
          <w:rFonts w:ascii="Calibri" w:hAnsi="Calibri" w:cs="Calibri"/>
          <w:sz w:val="22"/>
          <w:szCs w:val="22"/>
          <w:lang w:val="de-DE"/>
        </w:rPr>
      </w:pPr>
      <w:r w:rsidRPr="00A51383">
        <w:rPr>
          <w:rFonts w:ascii="Calibri" w:hAnsi="Calibri" w:cs="Calibri"/>
          <w:sz w:val="22"/>
          <w:szCs w:val="22"/>
          <w:lang w:val="de-DE"/>
        </w:rPr>
        <w:t>Entscheidungsmacht, also die Macht zu deuten, zu definieren und zu entscheiden (Hochuli Freund &amp; Stotz 2021</w:t>
      </w:r>
      <w:r>
        <w:rPr>
          <w:rFonts w:ascii="Calibri" w:hAnsi="Calibri" w:cs="Calibri"/>
          <w:sz w:val="22"/>
          <w:szCs w:val="22"/>
          <w:lang w:val="de-DE"/>
        </w:rPr>
        <w:t>,</w:t>
      </w:r>
      <w:r w:rsidRPr="00A51383">
        <w:rPr>
          <w:rFonts w:ascii="Calibri" w:hAnsi="Calibri" w:cs="Calibri"/>
          <w:sz w:val="22"/>
          <w:szCs w:val="22"/>
          <w:lang w:val="de-DE"/>
        </w:rPr>
        <w:t xml:space="preserve"> 59) </w:t>
      </w:r>
    </w:p>
    <w:p w14:paraId="3D9EC5FB" w14:textId="77777777" w:rsidR="00C05D52" w:rsidRPr="00A51383" w:rsidRDefault="00C05D52" w:rsidP="00C05D52">
      <w:pPr>
        <w:pStyle w:val="Textkrper"/>
        <w:spacing w:line="276" w:lineRule="auto"/>
        <w:jc w:val="both"/>
        <w:rPr>
          <w:rFonts w:ascii="Calibri" w:hAnsi="Calibri" w:cs="Calibri"/>
          <w:sz w:val="22"/>
          <w:szCs w:val="22"/>
          <w:lang w:val="de-DE"/>
        </w:rPr>
      </w:pPr>
      <w:r w:rsidRPr="00A51383">
        <w:rPr>
          <w:rFonts w:ascii="Calibri" w:hAnsi="Calibri" w:cs="Calibri"/>
          <w:sz w:val="22"/>
          <w:szCs w:val="22"/>
          <w:lang w:val="de-DE"/>
        </w:rPr>
        <w:t xml:space="preserve">Die Reflexion ungleicher Machtressourcen und -zugänge ist im Kontext psychosozialer Beratung zentral (Sagebiel </w:t>
      </w:r>
      <w:r>
        <w:rPr>
          <w:rFonts w:ascii="Calibri" w:hAnsi="Calibri" w:cs="Calibri"/>
          <w:sz w:val="22"/>
          <w:szCs w:val="22"/>
          <w:lang w:val="de-DE"/>
        </w:rPr>
        <w:t>und</w:t>
      </w:r>
      <w:r w:rsidRPr="00A51383">
        <w:rPr>
          <w:rFonts w:ascii="Calibri" w:hAnsi="Calibri" w:cs="Calibri"/>
          <w:sz w:val="22"/>
          <w:szCs w:val="22"/>
          <w:lang w:val="de-DE"/>
        </w:rPr>
        <w:t xml:space="preserve"> Pankofer 2015</w:t>
      </w:r>
      <w:r>
        <w:rPr>
          <w:rFonts w:ascii="Calibri" w:hAnsi="Calibri" w:cs="Calibri"/>
          <w:sz w:val="22"/>
          <w:szCs w:val="22"/>
          <w:lang w:val="de-DE"/>
        </w:rPr>
        <w:t>,</w:t>
      </w:r>
      <w:r w:rsidRPr="00A51383">
        <w:rPr>
          <w:rFonts w:ascii="Calibri" w:hAnsi="Calibri" w:cs="Calibri"/>
          <w:sz w:val="22"/>
          <w:szCs w:val="22"/>
          <w:lang w:val="de-DE"/>
        </w:rPr>
        <w:t xml:space="preserve"> 185). Berater*innen müssen sich ihrer eigenen Machtprivilegien und deren Wirkungen bewusst sein (ebd.). Bei Amts- und Mandatsträger*innen gestaltet sich die Verteilung dieser Privilegien jedoch komplexer als in „klassischen“ Beratungskonstellationen: Asymmetrien sind nicht eindeutig und können in einzelnen Dimensionen (insbesondere Organisations- und Entscheidungsmacht)</w:t>
      </w:r>
      <w:r>
        <w:rPr>
          <w:rFonts w:ascii="Calibri" w:hAnsi="Calibri" w:cs="Calibri"/>
          <w:sz w:val="22"/>
          <w:szCs w:val="22"/>
          <w:lang w:val="de-DE"/>
        </w:rPr>
        <w:t xml:space="preserve"> bzw. Rollenkonstellationen (öffentlich/privat)</w:t>
      </w:r>
      <w:r w:rsidRPr="00A51383">
        <w:rPr>
          <w:rFonts w:ascii="Calibri" w:hAnsi="Calibri" w:cs="Calibri"/>
          <w:sz w:val="22"/>
          <w:szCs w:val="22"/>
          <w:lang w:val="de-DE"/>
        </w:rPr>
        <w:t xml:space="preserve"> </w:t>
      </w:r>
      <w:proofErr w:type="gramStart"/>
      <w:r w:rsidRPr="00A51383">
        <w:rPr>
          <w:rFonts w:ascii="Calibri" w:hAnsi="Calibri" w:cs="Calibri"/>
          <w:sz w:val="22"/>
          <w:szCs w:val="22"/>
          <w:lang w:val="de-DE"/>
        </w:rPr>
        <w:t>zugunsten der Klient</w:t>
      </w:r>
      <w:proofErr w:type="gramEnd"/>
      <w:r w:rsidRPr="00A51383">
        <w:rPr>
          <w:rFonts w:ascii="Calibri" w:hAnsi="Calibri" w:cs="Calibri"/>
          <w:sz w:val="22"/>
          <w:szCs w:val="22"/>
          <w:lang w:val="de-DE"/>
        </w:rPr>
        <w:t>*innen ausfallen. Daraus folgen erhöhte Anforderungen an</w:t>
      </w:r>
      <w:r>
        <w:rPr>
          <w:rFonts w:ascii="Calibri" w:hAnsi="Calibri" w:cs="Calibri"/>
          <w:sz w:val="22"/>
          <w:szCs w:val="22"/>
          <w:lang w:val="de-DE"/>
        </w:rPr>
        <w:t xml:space="preserve"> die Beratung</w:t>
      </w:r>
      <w:r w:rsidRPr="00A51383">
        <w:rPr>
          <w:rFonts w:ascii="Calibri" w:hAnsi="Calibri" w:cs="Calibri"/>
          <w:sz w:val="22"/>
          <w:szCs w:val="22"/>
          <w:lang w:val="de-DE"/>
        </w:rPr>
        <w:t xml:space="preserve">: Vertrauen ist aufzubauen, ohne sich unterzuordnen, Konfrontation ist zu ermöglichen, ohne abzuwerten. Zugleich ist die Spannung zwischen öffentlicher und privater </w:t>
      </w:r>
      <w:r>
        <w:rPr>
          <w:rFonts w:ascii="Calibri" w:hAnsi="Calibri" w:cs="Calibri"/>
          <w:sz w:val="22"/>
          <w:szCs w:val="22"/>
          <w:lang w:val="de-DE"/>
        </w:rPr>
        <w:t>Rolle der Betroffenen und damit verbundener Erwartungen</w:t>
      </w:r>
      <w:r w:rsidRPr="00A51383">
        <w:rPr>
          <w:rFonts w:ascii="Calibri" w:hAnsi="Calibri" w:cs="Calibri"/>
          <w:sz w:val="22"/>
          <w:szCs w:val="22"/>
          <w:lang w:val="de-DE"/>
        </w:rPr>
        <w:t xml:space="preserve"> aktiv zu thematisieren und zu schützen.</w:t>
      </w:r>
      <w:r>
        <w:rPr>
          <w:rFonts w:ascii="Calibri" w:hAnsi="Calibri" w:cs="Calibri"/>
          <w:sz w:val="22"/>
          <w:szCs w:val="22"/>
          <w:lang w:val="de-DE"/>
        </w:rPr>
        <w:t xml:space="preserve"> </w:t>
      </w:r>
      <w:proofErr w:type="gramStart"/>
      <w:r>
        <w:rPr>
          <w:rFonts w:ascii="Calibri" w:hAnsi="Calibri" w:cs="Calibri"/>
          <w:sz w:val="22"/>
          <w:szCs w:val="22"/>
          <w:lang w:val="de-DE"/>
        </w:rPr>
        <w:t>Aus Klient</w:t>
      </w:r>
      <w:proofErr w:type="gramEnd"/>
      <w:r>
        <w:rPr>
          <w:rFonts w:ascii="Calibri" w:hAnsi="Calibri" w:cs="Calibri"/>
          <w:sz w:val="22"/>
          <w:szCs w:val="22"/>
          <w:lang w:val="de-DE"/>
        </w:rPr>
        <w:t xml:space="preserve">*innenperspektive ergibt sich in diesem Kontext die </w:t>
      </w:r>
      <w:r>
        <w:rPr>
          <w:rFonts w:ascii="Calibri" w:hAnsi="Calibri" w:cs="Calibri"/>
          <w:sz w:val="22"/>
          <w:szCs w:val="22"/>
          <w:lang w:val="de-DE"/>
        </w:rPr>
        <w:lastRenderedPageBreak/>
        <w:t>Notwendigkeit, machtbezogene Widersprüche und Paradoxien der eigenen Rollenvielfalt bewusst zu reflektieren, um Selbstregulation und Kohärenzgefühl zu ermöglichen bzw. zu stärken (Tricoli 2007).</w:t>
      </w:r>
    </w:p>
    <w:p w14:paraId="0F1E0BD9" w14:textId="77777777" w:rsidR="00C05D52" w:rsidRPr="00A51383" w:rsidRDefault="00C05D52" w:rsidP="00C05D52">
      <w:pPr>
        <w:pStyle w:val="Textkrper"/>
        <w:spacing w:line="276" w:lineRule="auto"/>
        <w:jc w:val="both"/>
        <w:rPr>
          <w:rFonts w:ascii="Calibri" w:hAnsi="Calibri" w:cs="Calibri"/>
          <w:sz w:val="22"/>
          <w:szCs w:val="22"/>
          <w:lang w:val="de-DE"/>
        </w:rPr>
      </w:pPr>
      <w:r w:rsidRPr="00A51383">
        <w:rPr>
          <w:rFonts w:ascii="Calibri" w:hAnsi="Calibri" w:cs="Calibri"/>
          <w:sz w:val="22"/>
          <w:szCs w:val="22"/>
          <w:lang w:val="de-DE"/>
        </w:rPr>
        <w:t xml:space="preserve">Mit Blick auf die Evaluation der ZAMAT zeigt sich, dass die Reflexion der </w:t>
      </w:r>
      <w:r>
        <w:rPr>
          <w:rFonts w:ascii="Calibri" w:hAnsi="Calibri" w:cs="Calibri"/>
          <w:sz w:val="22"/>
          <w:szCs w:val="22"/>
          <w:lang w:val="de-DE"/>
        </w:rPr>
        <w:t>„</w:t>
      </w:r>
      <w:r w:rsidRPr="00A51383">
        <w:rPr>
          <w:rFonts w:ascii="Calibri" w:hAnsi="Calibri" w:cs="Calibri"/>
          <w:sz w:val="22"/>
          <w:szCs w:val="22"/>
          <w:lang w:val="de-DE"/>
        </w:rPr>
        <w:t>Besonderheit</w:t>
      </w:r>
      <w:r>
        <w:rPr>
          <w:rFonts w:ascii="Calibri" w:hAnsi="Calibri" w:cs="Calibri"/>
          <w:sz w:val="22"/>
          <w:szCs w:val="22"/>
          <w:lang w:val="de-DE"/>
        </w:rPr>
        <w:t>“</w:t>
      </w:r>
      <w:r w:rsidRPr="00A51383">
        <w:rPr>
          <w:rFonts w:ascii="Calibri" w:hAnsi="Calibri" w:cs="Calibri"/>
          <w:sz w:val="22"/>
          <w:szCs w:val="22"/>
          <w:lang w:val="de-DE"/>
        </w:rPr>
        <w:t xml:space="preserve"> einen zentralen Baustein des professionellen Beratungshandelns ausmacht. So reflektieren die </w:t>
      </w:r>
      <w:r>
        <w:rPr>
          <w:rFonts w:ascii="Calibri" w:hAnsi="Calibri" w:cs="Calibri"/>
          <w:sz w:val="22"/>
          <w:szCs w:val="22"/>
          <w:lang w:val="de-DE"/>
        </w:rPr>
        <w:t>Berater*innen</w:t>
      </w:r>
      <w:r w:rsidRPr="00A51383">
        <w:rPr>
          <w:rFonts w:ascii="Calibri" w:hAnsi="Calibri" w:cs="Calibri"/>
          <w:sz w:val="22"/>
          <w:szCs w:val="22"/>
          <w:lang w:val="de-DE"/>
        </w:rPr>
        <w:t xml:space="preserve">, dass diese Besonderheit sich auf </w:t>
      </w:r>
      <w:r>
        <w:rPr>
          <w:rFonts w:ascii="Calibri" w:hAnsi="Calibri" w:cs="Calibri"/>
          <w:sz w:val="22"/>
          <w:szCs w:val="22"/>
          <w:lang w:val="de-DE"/>
        </w:rPr>
        <w:t>die</w:t>
      </w:r>
      <w:r w:rsidRPr="00A51383">
        <w:rPr>
          <w:rFonts w:ascii="Calibri" w:hAnsi="Calibri" w:cs="Calibri"/>
          <w:sz w:val="22"/>
          <w:szCs w:val="22"/>
          <w:lang w:val="de-DE"/>
        </w:rPr>
        <w:t xml:space="preserve"> gesellschaftliche Position</w:t>
      </w:r>
      <w:r>
        <w:rPr>
          <w:rFonts w:ascii="Calibri" w:hAnsi="Calibri" w:cs="Calibri"/>
          <w:sz w:val="22"/>
          <w:szCs w:val="22"/>
          <w:lang w:val="de-DE"/>
        </w:rPr>
        <w:t xml:space="preserve"> </w:t>
      </w:r>
      <w:proofErr w:type="gramStart"/>
      <w:r>
        <w:rPr>
          <w:rFonts w:ascii="Calibri" w:hAnsi="Calibri" w:cs="Calibri"/>
          <w:sz w:val="22"/>
          <w:szCs w:val="22"/>
          <w:lang w:val="de-DE"/>
        </w:rPr>
        <w:t>von Klient</w:t>
      </w:r>
      <w:proofErr w:type="gramEnd"/>
      <w:r>
        <w:rPr>
          <w:rFonts w:ascii="Calibri" w:hAnsi="Calibri" w:cs="Calibri"/>
          <w:sz w:val="22"/>
          <w:szCs w:val="22"/>
          <w:lang w:val="de-DE"/>
        </w:rPr>
        <w:t>*innen</w:t>
      </w:r>
      <w:r w:rsidRPr="00A51383">
        <w:rPr>
          <w:rFonts w:ascii="Calibri" w:hAnsi="Calibri" w:cs="Calibri"/>
          <w:sz w:val="22"/>
          <w:szCs w:val="22"/>
          <w:lang w:val="de-DE"/>
        </w:rPr>
        <w:t xml:space="preserve"> sowie die damit zusammenhängenden Zugänge zu (Macht-)Ressourcen, Personen und Institutionen bezieht, die möglicherweise auch Konsequenzen für die eigene Tätigkeit haben könnten. Für die Berater*innen kann dies beispielsweise mit einem erhöhten Gefühl von Unsicherheit gegenüber Beratungsgegenständen aber auch Klient*innen einhergehen. Es wird deutlich, dass es auf der einen Seite eines intensiven Beziehungs- und Vertrauensaufbau</w:t>
      </w:r>
      <w:r>
        <w:rPr>
          <w:rFonts w:ascii="Calibri" w:hAnsi="Calibri" w:cs="Calibri"/>
          <w:sz w:val="22"/>
          <w:szCs w:val="22"/>
          <w:lang w:val="de-DE"/>
        </w:rPr>
        <w:t>s</w:t>
      </w:r>
      <w:r w:rsidRPr="00A51383">
        <w:rPr>
          <w:rFonts w:ascii="Calibri" w:hAnsi="Calibri" w:cs="Calibri"/>
          <w:sz w:val="22"/>
          <w:szCs w:val="22"/>
          <w:lang w:val="de-DE"/>
        </w:rPr>
        <w:t xml:space="preserve"> </w:t>
      </w:r>
      <w:proofErr w:type="gramStart"/>
      <w:r w:rsidRPr="00A51383">
        <w:rPr>
          <w:rFonts w:ascii="Calibri" w:hAnsi="Calibri" w:cs="Calibri"/>
          <w:sz w:val="22"/>
          <w:szCs w:val="22"/>
          <w:lang w:val="de-DE"/>
        </w:rPr>
        <w:t>mit den Klient</w:t>
      </w:r>
      <w:proofErr w:type="gramEnd"/>
      <w:r w:rsidRPr="00A51383">
        <w:rPr>
          <w:rFonts w:ascii="Calibri" w:hAnsi="Calibri" w:cs="Calibri"/>
          <w:sz w:val="22"/>
          <w:szCs w:val="22"/>
          <w:lang w:val="de-DE"/>
        </w:rPr>
        <w:t>*innen bedarf, um die Beratungstätigkeit machtreflektiert durchführen zu können, und auf der andere</w:t>
      </w:r>
      <w:r>
        <w:rPr>
          <w:rFonts w:ascii="Calibri" w:hAnsi="Calibri" w:cs="Calibri"/>
          <w:sz w:val="22"/>
          <w:szCs w:val="22"/>
          <w:lang w:val="de-DE"/>
        </w:rPr>
        <w:t>n</w:t>
      </w:r>
      <w:r w:rsidRPr="00A51383">
        <w:rPr>
          <w:rFonts w:ascii="Calibri" w:hAnsi="Calibri" w:cs="Calibri"/>
          <w:sz w:val="22"/>
          <w:szCs w:val="22"/>
          <w:lang w:val="de-DE"/>
        </w:rPr>
        <w:t xml:space="preserve"> Seite Supervision unverzichtbar ist, um </w:t>
      </w:r>
      <w:r>
        <w:rPr>
          <w:rFonts w:ascii="Calibri" w:hAnsi="Calibri" w:cs="Calibri"/>
          <w:sz w:val="22"/>
          <w:szCs w:val="22"/>
          <w:lang w:val="de-DE"/>
        </w:rPr>
        <w:t>die</w:t>
      </w:r>
      <w:r w:rsidRPr="00A51383">
        <w:rPr>
          <w:rFonts w:ascii="Calibri" w:hAnsi="Calibri" w:cs="Calibri"/>
          <w:sz w:val="22"/>
          <w:szCs w:val="22"/>
          <w:lang w:val="de-DE"/>
        </w:rPr>
        <w:t xml:space="preserve"> Machtreflexion </w:t>
      </w:r>
      <w:r>
        <w:rPr>
          <w:rFonts w:ascii="Calibri" w:hAnsi="Calibri" w:cs="Calibri"/>
          <w:sz w:val="22"/>
          <w:szCs w:val="22"/>
          <w:lang w:val="de-DE"/>
        </w:rPr>
        <w:t xml:space="preserve">(überhaupt) </w:t>
      </w:r>
      <w:r w:rsidRPr="00A51383">
        <w:rPr>
          <w:rFonts w:ascii="Calibri" w:hAnsi="Calibri" w:cs="Calibri"/>
          <w:sz w:val="22"/>
          <w:szCs w:val="22"/>
          <w:lang w:val="de-DE"/>
        </w:rPr>
        <w:t>zu ermöglichen (Pedersen</w:t>
      </w:r>
      <w:r>
        <w:rPr>
          <w:rFonts w:ascii="Calibri" w:hAnsi="Calibri" w:cs="Calibri"/>
          <w:sz w:val="22"/>
          <w:szCs w:val="22"/>
          <w:lang w:val="de-DE"/>
        </w:rPr>
        <w:t xml:space="preserve"> et al.</w:t>
      </w:r>
      <w:r w:rsidRPr="00A51383">
        <w:rPr>
          <w:rFonts w:ascii="Calibri" w:hAnsi="Calibri" w:cs="Calibri"/>
          <w:sz w:val="22"/>
          <w:szCs w:val="22"/>
          <w:lang w:val="de-DE"/>
        </w:rPr>
        <w:t xml:space="preserve"> 2024).</w:t>
      </w:r>
    </w:p>
    <w:p w14:paraId="0EB93942" w14:textId="77777777" w:rsidR="00C05D52" w:rsidRPr="00A51383" w:rsidRDefault="00C05D52" w:rsidP="00C05D52">
      <w:pPr>
        <w:pStyle w:val="Textkrper"/>
        <w:spacing w:line="276" w:lineRule="auto"/>
        <w:jc w:val="both"/>
        <w:rPr>
          <w:rFonts w:ascii="Calibri" w:hAnsi="Calibri" w:cs="Calibri"/>
          <w:sz w:val="22"/>
          <w:szCs w:val="22"/>
          <w:lang w:val="de-DE"/>
        </w:rPr>
      </w:pPr>
      <w:r w:rsidRPr="00A51383">
        <w:rPr>
          <w:rFonts w:ascii="Calibri" w:hAnsi="Calibri" w:cs="Calibri"/>
          <w:sz w:val="22"/>
          <w:szCs w:val="22"/>
          <w:lang w:val="de-DE"/>
        </w:rPr>
        <w:t>Aus der ZAMAT-Evaluation ergeben sich spezifische Erkenntnisse bezogen auf die Beratung von Amts- und Mandatsträger*innen vornehmlich im Rahmen psychosozialer Beratungskontexte vor dem Hintergrund ungewöhnlicher Machtkonstellationen. Nicht nur ist Beratung dazu aufgerufen, die schon üblicherweise nicht immer systematisch reflektierten „klassischen“ Machtasymmetrien der Beratung im Kontext der Arbeit mit Amts- und Mandatsträger*innen nochmals in einer weiteren Dimension (bzw. einer neuen Dynamik)</w:t>
      </w:r>
      <w:r>
        <w:rPr>
          <w:rFonts w:ascii="Calibri" w:hAnsi="Calibri" w:cs="Calibri"/>
          <w:sz w:val="22"/>
          <w:szCs w:val="22"/>
          <w:lang w:val="de-DE"/>
        </w:rPr>
        <w:t xml:space="preserve"> und mit Blick auf ungewöhnliche Rollenkonstellationen</w:t>
      </w:r>
      <w:r w:rsidRPr="00A51383">
        <w:rPr>
          <w:rFonts w:ascii="Calibri" w:hAnsi="Calibri" w:cs="Calibri"/>
          <w:sz w:val="22"/>
          <w:szCs w:val="22"/>
          <w:lang w:val="de-DE"/>
        </w:rPr>
        <w:t xml:space="preserve"> zu reflektieren (vgl. Sagebiel &amp; Pankofer 2015</w:t>
      </w:r>
      <w:r>
        <w:rPr>
          <w:rFonts w:ascii="Calibri" w:hAnsi="Calibri" w:cs="Calibri"/>
          <w:sz w:val="22"/>
          <w:szCs w:val="22"/>
          <w:lang w:val="de-DE"/>
        </w:rPr>
        <w:t>,</w:t>
      </w:r>
      <w:r w:rsidRPr="00A51383">
        <w:rPr>
          <w:rFonts w:ascii="Calibri" w:hAnsi="Calibri" w:cs="Calibri"/>
          <w:sz w:val="22"/>
          <w:szCs w:val="22"/>
          <w:lang w:val="de-DE"/>
        </w:rPr>
        <w:t xml:space="preserve"> 185), sie muss auch damit umgehen, dass sich Beratungsnehmer*innen, zumindest implizit, ebenfalls über die „besondere“ Machtasymmetrie dieser Konstellation bewusst sind und diese ggf. </w:t>
      </w:r>
      <w:r>
        <w:rPr>
          <w:rFonts w:ascii="Calibri" w:hAnsi="Calibri" w:cs="Calibri"/>
          <w:sz w:val="22"/>
          <w:szCs w:val="22"/>
          <w:lang w:val="de-DE"/>
        </w:rPr>
        <w:t>sogar</w:t>
      </w:r>
      <w:r w:rsidRPr="00A51383">
        <w:rPr>
          <w:rFonts w:ascii="Calibri" w:hAnsi="Calibri" w:cs="Calibri"/>
          <w:sz w:val="22"/>
          <w:szCs w:val="22"/>
          <w:lang w:val="de-DE"/>
        </w:rPr>
        <w:t xml:space="preserve"> strategisch einzusetzen vermögen. </w:t>
      </w:r>
    </w:p>
    <w:p w14:paraId="72D66001" w14:textId="77777777" w:rsidR="00C05D52" w:rsidRDefault="00C05D52" w:rsidP="00C05D52">
      <w:pPr>
        <w:pStyle w:val="Textkrper"/>
        <w:spacing w:line="276" w:lineRule="auto"/>
        <w:jc w:val="both"/>
        <w:rPr>
          <w:rFonts w:ascii="Calibri" w:hAnsi="Calibri" w:cs="Calibri"/>
          <w:sz w:val="22"/>
          <w:szCs w:val="22"/>
          <w:lang w:val="de-DE"/>
        </w:rPr>
      </w:pPr>
      <w:r w:rsidRPr="00A51383">
        <w:rPr>
          <w:rFonts w:ascii="Calibri" w:hAnsi="Calibri" w:cs="Calibri"/>
          <w:sz w:val="22"/>
          <w:szCs w:val="22"/>
          <w:lang w:val="de-DE"/>
        </w:rPr>
        <w:t>Für die konkrete Beratungspraxis empfiehlt es sich, Beratungsnehmer*innen schon im Zuge der professionellen Gesprächsvorbereitung bzw. spätestens im Rahmen einer gemeinsamen „Blitzlicht“-Reflexion am Ende des ersten oder zweiten Beratungsgespräches proaktiv in eine machtsensible Reflexion miteinzubeziehen</w:t>
      </w:r>
      <w:r>
        <w:rPr>
          <w:rFonts w:ascii="Calibri" w:hAnsi="Calibri" w:cs="Calibri"/>
          <w:sz w:val="22"/>
          <w:szCs w:val="22"/>
          <w:lang w:val="de-DE"/>
        </w:rPr>
        <w:t xml:space="preserve">. In diesem Zusammenhang ist zentral, </w:t>
      </w:r>
      <w:r w:rsidRPr="00A51383">
        <w:rPr>
          <w:rFonts w:ascii="Calibri" w:hAnsi="Calibri" w:cs="Calibri"/>
          <w:sz w:val="22"/>
          <w:szCs w:val="22"/>
          <w:lang w:val="de-DE"/>
        </w:rPr>
        <w:t>die eigenen Wahrnehmungen, Fantasien und möglicherweise auch Befürchtungen transparent zu machen, die Beratungsnehmer*innen hier also, ganz im Sinne der Ko-Produktion, in die Teilverantwortung für eine gelingende Beratungsbeziehung zu nehmen (Widulle 2020</w:t>
      </w:r>
      <w:r>
        <w:rPr>
          <w:rFonts w:ascii="Calibri" w:hAnsi="Calibri" w:cs="Calibri"/>
          <w:sz w:val="22"/>
          <w:szCs w:val="22"/>
          <w:lang w:val="de-DE"/>
        </w:rPr>
        <w:t>,</w:t>
      </w:r>
      <w:r w:rsidRPr="00A51383">
        <w:rPr>
          <w:rFonts w:ascii="Calibri" w:hAnsi="Calibri" w:cs="Calibri"/>
          <w:sz w:val="22"/>
          <w:szCs w:val="22"/>
          <w:lang w:val="de-DE"/>
        </w:rPr>
        <w:t xml:space="preserve"> 96).</w:t>
      </w:r>
      <w:r>
        <w:rPr>
          <w:rFonts w:ascii="Calibri" w:hAnsi="Calibri" w:cs="Calibri"/>
          <w:sz w:val="22"/>
          <w:szCs w:val="22"/>
          <w:lang w:val="de-DE"/>
        </w:rPr>
        <w:t xml:space="preserve"> Darüber hinaus scheinen systemisch-orientierte Gesprächsansätze vielversprechend, deren Ziel es ist, Klient*innen proaktiv die Einnahme einer „außenstehenden Beobachterposition“ zu ermöglichen und somit als Form der Beobachtung zweiter Ordnung die Kontingenz eigener Rollen bzw. der Rollenerwartungen der Umwelt reflektieren und damit einen produktiven Umgang im Sinne gelingender Selbstregulation und Kohärenzerhaltung entwickeln zu können (Tricoli 2007).</w:t>
      </w:r>
    </w:p>
    <w:p w14:paraId="252E0E0F" w14:textId="77777777" w:rsidR="00C05D52" w:rsidRPr="00A51383" w:rsidRDefault="00C05D52" w:rsidP="00C05D52">
      <w:pPr>
        <w:pStyle w:val="Textkrper"/>
        <w:spacing w:line="276" w:lineRule="auto"/>
        <w:jc w:val="both"/>
        <w:rPr>
          <w:rFonts w:ascii="Calibri" w:hAnsi="Calibri" w:cs="Calibri"/>
          <w:sz w:val="22"/>
          <w:szCs w:val="22"/>
          <w:lang w:val="de-DE"/>
        </w:rPr>
      </w:pPr>
    </w:p>
    <w:p w14:paraId="72DE2D7D" w14:textId="77777777" w:rsidR="00C05D52" w:rsidRPr="00525067" w:rsidRDefault="00C05D52" w:rsidP="00525067">
      <w:pPr>
        <w:pStyle w:val="berschrift1"/>
        <w:numPr>
          <w:ilvl w:val="0"/>
          <w:numId w:val="0"/>
        </w:numPr>
        <w:spacing w:before="240"/>
        <w:ind w:left="431" w:hanging="431"/>
        <w:rPr>
          <w:rFonts w:asciiTheme="minorHAnsi" w:hAnsiTheme="minorHAnsi" w:cstheme="minorHAnsi"/>
          <w:color w:val="016D72"/>
          <w:sz w:val="32"/>
          <w:szCs w:val="32"/>
        </w:rPr>
      </w:pPr>
      <w:bookmarkStart w:id="101" w:name="_Toc216266105"/>
      <w:r w:rsidRPr="00525067">
        <w:rPr>
          <w:rFonts w:asciiTheme="minorHAnsi" w:hAnsiTheme="minorHAnsi" w:cstheme="minorHAnsi"/>
          <w:color w:val="016D72"/>
          <w:sz w:val="32"/>
          <w:szCs w:val="32"/>
        </w:rPr>
        <w:t>5. Multiprofessionelle Ansätze: Soziale Arbeit und Psychotherapie</w:t>
      </w:r>
      <w:bookmarkEnd w:id="101"/>
    </w:p>
    <w:p w14:paraId="5083FEA8" w14:textId="77777777" w:rsidR="00C05D52" w:rsidRPr="00A51383" w:rsidRDefault="00C05D52" w:rsidP="00C05D52">
      <w:pPr>
        <w:pStyle w:val="Textkrper"/>
        <w:spacing w:line="276" w:lineRule="auto"/>
        <w:jc w:val="both"/>
        <w:rPr>
          <w:rFonts w:ascii="Calibri" w:hAnsi="Calibri" w:cs="Calibri"/>
          <w:sz w:val="22"/>
          <w:szCs w:val="22"/>
          <w:lang w:val="de-DE"/>
        </w:rPr>
      </w:pPr>
      <w:r w:rsidRPr="00A51383">
        <w:rPr>
          <w:rFonts w:ascii="Calibri" w:hAnsi="Calibri" w:cs="Calibri"/>
          <w:sz w:val="22"/>
          <w:szCs w:val="22"/>
          <w:lang w:val="de-DE"/>
        </w:rPr>
        <w:t xml:space="preserve">Aus der aktuellen Studienlage (Eberspach et al. 2022, VBRG &amp; BMB 2020 oder Ministerium des Innern und für Kommunales des Landes Brandenburg 2022) geht hervor, dass sich von Anfeindungen betroffene Amts- und Mandatsträger*innen offenbar häufig in akuten Krisensituationen befinden. Auch </w:t>
      </w:r>
      <w:r>
        <w:rPr>
          <w:rFonts w:ascii="Calibri" w:hAnsi="Calibri" w:cs="Calibri"/>
          <w:sz w:val="22"/>
          <w:szCs w:val="22"/>
          <w:lang w:val="de-DE"/>
        </w:rPr>
        <w:t>die</w:t>
      </w:r>
      <w:r w:rsidRPr="00A51383">
        <w:rPr>
          <w:rFonts w:ascii="Calibri" w:hAnsi="Calibri" w:cs="Calibri"/>
          <w:sz w:val="22"/>
          <w:szCs w:val="22"/>
          <w:lang w:val="de-DE"/>
        </w:rPr>
        <w:t xml:space="preserve"> Evaluation der ZAMAT bestätigt diese Einschätzung</w:t>
      </w:r>
      <w:r>
        <w:rPr>
          <w:rFonts w:ascii="Calibri" w:hAnsi="Calibri" w:cs="Calibri"/>
          <w:sz w:val="22"/>
          <w:szCs w:val="22"/>
          <w:lang w:val="de-DE"/>
        </w:rPr>
        <w:t xml:space="preserve"> </w:t>
      </w:r>
      <w:r w:rsidRPr="00A51383">
        <w:rPr>
          <w:rFonts w:ascii="Calibri" w:hAnsi="Calibri" w:cs="Calibri"/>
          <w:sz w:val="22"/>
          <w:szCs w:val="22"/>
          <w:lang w:val="de-DE"/>
        </w:rPr>
        <w:t xml:space="preserve">(Ostwaldt und Walkenhorst 2025). Die Einbettung in komplexe Rollenstrukturen, die insbesondere </w:t>
      </w:r>
      <w:r>
        <w:rPr>
          <w:rFonts w:ascii="Calibri" w:hAnsi="Calibri" w:cs="Calibri"/>
          <w:sz w:val="22"/>
          <w:szCs w:val="22"/>
          <w:lang w:val="de-DE"/>
        </w:rPr>
        <w:t xml:space="preserve">die </w:t>
      </w:r>
      <w:r w:rsidRPr="00A51383">
        <w:rPr>
          <w:rFonts w:ascii="Calibri" w:hAnsi="Calibri" w:cs="Calibri"/>
          <w:sz w:val="22"/>
          <w:szCs w:val="22"/>
          <w:lang w:val="de-DE"/>
        </w:rPr>
        <w:t xml:space="preserve">Kommunalpolitik aufgrund einer direkten Verflechtung von Amtsausübung vor Ort und aktiver Partizipation in der Ortsgemeinschaft mit sich bringt (Ostwaldt und Walkenhorst 2025), gepaart mit Ängsten in Bezug auf die eigene bzw. die </w:t>
      </w:r>
      <w:r w:rsidRPr="00A51383">
        <w:rPr>
          <w:rFonts w:ascii="Calibri" w:hAnsi="Calibri" w:cs="Calibri"/>
          <w:sz w:val="22"/>
          <w:szCs w:val="22"/>
          <w:lang w:val="de-DE"/>
        </w:rPr>
        <w:lastRenderedPageBreak/>
        <w:t>Sicherheit von Angehörigen im Kontext langanhaltender Belastungen, die mit der Ausübung des Mandates einhergehen</w:t>
      </w:r>
      <w:r>
        <w:rPr>
          <w:rFonts w:ascii="Calibri" w:hAnsi="Calibri" w:cs="Calibri"/>
          <w:sz w:val="22"/>
          <w:szCs w:val="22"/>
          <w:lang w:val="de-DE"/>
        </w:rPr>
        <w:t>,</w:t>
      </w:r>
      <w:r w:rsidRPr="00A51383">
        <w:rPr>
          <w:rFonts w:ascii="Calibri" w:hAnsi="Calibri" w:cs="Calibri"/>
          <w:sz w:val="22"/>
          <w:szCs w:val="22"/>
          <w:lang w:val="de-DE"/>
        </w:rPr>
        <w:t xml:space="preserve"> führen zu komplexen Problemmustern, die nur professionsübergreifend bearbeitet werden können. Dabei zeigt sich, dass weder ein rein psychotherapeutischer Ansatz noch eine rein sozialarbeiterische Perspektive die beschriebene Komplexität adäquat erfassen und bearbeiten </w:t>
      </w:r>
      <w:r>
        <w:rPr>
          <w:rFonts w:ascii="Calibri" w:hAnsi="Calibri" w:cs="Calibri"/>
          <w:sz w:val="22"/>
          <w:szCs w:val="22"/>
          <w:lang w:val="de-DE"/>
        </w:rPr>
        <w:t>können</w:t>
      </w:r>
      <w:r w:rsidRPr="00A51383">
        <w:rPr>
          <w:rFonts w:ascii="Calibri" w:hAnsi="Calibri" w:cs="Calibri"/>
          <w:sz w:val="22"/>
          <w:szCs w:val="22"/>
          <w:lang w:val="de-DE"/>
        </w:rPr>
        <w:t xml:space="preserve">. Traumata, Depressionen und Angststörungen erfordern eine enge Verzahnung beider Disziplinen (Every-Palmer et al. 2015; Jodelet 2020) auch unter Einbeziehung polizeilicher Ressourcen, die insbesondere dann relevant werden, wenn es um die Sicherheit der Amts- und Mandatsträger*innen geht. </w:t>
      </w:r>
    </w:p>
    <w:p w14:paraId="72CD62BF" w14:textId="77777777" w:rsidR="00C05D52" w:rsidRPr="00A51383" w:rsidRDefault="00C05D52" w:rsidP="00C05D52">
      <w:pPr>
        <w:pStyle w:val="Textkrper"/>
        <w:spacing w:line="276" w:lineRule="auto"/>
        <w:jc w:val="both"/>
        <w:rPr>
          <w:rFonts w:ascii="Calibri" w:hAnsi="Calibri" w:cs="Calibri"/>
          <w:sz w:val="22"/>
          <w:szCs w:val="22"/>
          <w:lang w:val="de-DE"/>
        </w:rPr>
      </w:pPr>
      <w:r w:rsidRPr="00A51383">
        <w:rPr>
          <w:rFonts w:ascii="Calibri" w:hAnsi="Calibri" w:cs="Calibri"/>
          <w:sz w:val="22"/>
          <w:szCs w:val="22"/>
          <w:lang w:val="de-DE"/>
        </w:rPr>
        <w:t>Vor diesem Hintergrund plädieren wir dafür, in der Beratung von Personen, die sich bereit erklären, politische Ämter zu bekleiden und damit eine zentrale Rolle innerhalb einer funktionierenden Demokratie einzunehmen, multiprofessionelle Strukturen zu schaffen, die folgende Elemente integrieren sollten:</w:t>
      </w:r>
    </w:p>
    <w:p w14:paraId="4C5232EC" w14:textId="77777777" w:rsidR="00C05D52" w:rsidRPr="00A51383" w:rsidRDefault="00C05D52" w:rsidP="00C05D52">
      <w:pPr>
        <w:pStyle w:val="Textkrper"/>
        <w:numPr>
          <w:ilvl w:val="0"/>
          <w:numId w:val="27"/>
        </w:numPr>
        <w:spacing w:before="0" w:after="0" w:line="276" w:lineRule="auto"/>
        <w:jc w:val="both"/>
        <w:rPr>
          <w:rFonts w:ascii="Calibri" w:hAnsi="Calibri" w:cs="Calibri"/>
          <w:sz w:val="22"/>
          <w:szCs w:val="22"/>
          <w:lang w:val="de-DE"/>
        </w:rPr>
      </w:pPr>
      <w:r w:rsidRPr="00A51383">
        <w:rPr>
          <w:rFonts w:ascii="Calibri" w:hAnsi="Calibri" w:cs="Calibri"/>
          <w:sz w:val="22"/>
          <w:szCs w:val="22"/>
          <w:lang w:val="de-DE"/>
        </w:rPr>
        <w:t xml:space="preserve">Psychosoziale Kurzzeitberatung und Krisenintervention (Soziale Arbeit und Psychologie) </w:t>
      </w:r>
    </w:p>
    <w:p w14:paraId="08785331" w14:textId="77777777" w:rsidR="00C05D52" w:rsidRPr="00A51383" w:rsidRDefault="00C05D52" w:rsidP="00C05D52">
      <w:pPr>
        <w:pStyle w:val="Textkrper"/>
        <w:numPr>
          <w:ilvl w:val="0"/>
          <w:numId w:val="27"/>
        </w:numPr>
        <w:spacing w:before="0" w:after="0" w:line="276" w:lineRule="auto"/>
        <w:jc w:val="both"/>
        <w:rPr>
          <w:rFonts w:ascii="Calibri" w:hAnsi="Calibri" w:cs="Calibri"/>
          <w:sz w:val="22"/>
          <w:szCs w:val="22"/>
          <w:lang w:val="de-DE"/>
        </w:rPr>
      </w:pPr>
      <w:r w:rsidRPr="00A51383">
        <w:rPr>
          <w:rFonts w:ascii="Calibri" w:hAnsi="Calibri" w:cs="Calibri"/>
          <w:sz w:val="22"/>
          <w:szCs w:val="22"/>
          <w:lang w:val="de-DE"/>
        </w:rPr>
        <w:t>Trauma- und Psychotherapie</w:t>
      </w:r>
    </w:p>
    <w:p w14:paraId="0B1C2EE9" w14:textId="77777777" w:rsidR="00C05D52" w:rsidRPr="00A51383" w:rsidRDefault="00C05D52" w:rsidP="00C05D52">
      <w:pPr>
        <w:pStyle w:val="Textkrper"/>
        <w:numPr>
          <w:ilvl w:val="0"/>
          <w:numId w:val="27"/>
        </w:numPr>
        <w:spacing w:before="0" w:after="0" w:line="276" w:lineRule="auto"/>
        <w:jc w:val="both"/>
        <w:rPr>
          <w:rFonts w:ascii="Calibri" w:hAnsi="Calibri" w:cs="Calibri"/>
          <w:sz w:val="22"/>
          <w:szCs w:val="22"/>
          <w:lang w:val="de-DE"/>
        </w:rPr>
      </w:pPr>
      <w:r w:rsidRPr="00A51383">
        <w:rPr>
          <w:rFonts w:ascii="Calibri" w:hAnsi="Calibri" w:cs="Calibri"/>
          <w:sz w:val="22"/>
          <w:szCs w:val="22"/>
          <w:lang w:val="de-DE"/>
        </w:rPr>
        <w:t xml:space="preserve">Case Management und Lotsenfunktion (inklusive Rechts-, Sicherheits- und Organisationsberatung) </w:t>
      </w:r>
    </w:p>
    <w:p w14:paraId="53404549" w14:textId="77777777" w:rsidR="00C05D52" w:rsidRPr="00A51383" w:rsidRDefault="00C05D52" w:rsidP="00C05D52">
      <w:pPr>
        <w:pStyle w:val="Textkrper"/>
        <w:numPr>
          <w:ilvl w:val="0"/>
          <w:numId w:val="27"/>
        </w:numPr>
        <w:spacing w:before="0" w:after="0" w:line="276" w:lineRule="auto"/>
        <w:jc w:val="both"/>
        <w:rPr>
          <w:rFonts w:ascii="Calibri" w:hAnsi="Calibri" w:cs="Calibri"/>
          <w:sz w:val="22"/>
          <w:szCs w:val="22"/>
          <w:lang w:val="de-DE"/>
        </w:rPr>
      </w:pPr>
      <w:r w:rsidRPr="00A51383">
        <w:rPr>
          <w:rFonts w:ascii="Calibri" w:hAnsi="Calibri" w:cs="Calibri"/>
          <w:sz w:val="22"/>
          <w:szCs w:val="22"/>
          <w:lang w:val="de-DE"/>
        </w:rPr>
        <w:t>Supervision (zur Prävention von Burnout und Sekundärtrauma</w:t>
      </w:r>
      <w:r>
        <w:rPr>
          <w:rFonts w:ascii="Calibri" w:hAnsi="Calibri" w:cs="Calibri"/>
          <w:sz w:val="22"/>
          <w:szCs w:val="22"/>
          <w:lang w:val="de-DE"/>
        </w:rPr>
        <w:t>ta</w:t>
      </w:r>
      <w:r w:rsidRPr="00A51383">
        <w:rPr>
          <w:rFonts w:ascii="Calibri" w:hAnsi="Calibri" w:cs="Calibri"/>
          <w:sz w:val="22"/>
          <w:szCs w:val="22"/>
          <w:lang w:val="de-DE"/>
        </w:rPr>
        <w:t xml:space="preserve">) </w:t>
      </w:r>
    </w:p>
    <w:p w14:paraId="63AED48A" w14:textId="77777777" w:rsidR="00C05D52" w:rsidRPr="00A51383" w:rsidRDefault="00C05D52" w:rsidP="00C05D52">
      <w:pPr>
        <w:pStyle w:val="Textkrper"/>
        <w:numPr>
          <w:ilvl w:val="0"/>
          <w:numId w:val="27"/>
        </w:numPr>
        <w:spacing w:before="0" w:after="0" w:line="276" w:lineRule="auto"/>
        <w:jc w:val="both"/>
        <w:rPr>
          <w:rFonts w:ascii="Calibri" w:hAnsi="Calibri" w:cs="Calibri"/>
          <w:sz w:val="22"/>
          <w:szCs w:val="22"/>
          <w:lang w:val="de-DE"/>
        </w:rPr>
      </w:pPr>
      <w:r w:rsidRPr="00A51383">
        <w:rPr>
          <w:rFonts w:ascii="Calibri" w:hAnsi="Calibri" w:cs="Calibri"/>
          <w:sz w:val="22"/>
          <w:szCs w:val="22"/>
          <w:lang w:val="de-DE"/>
        </w:rPr>
        <w:t>Sicherheits- und Kommunikationsberatung (z. B. Umgang mit Online-Hass, Desinformation, Doxing)</w:t>
      </w:r>
    </w:p>
    <w:p w14:paraId="451C95DD" w14:textId="77777777" w:rsidR="00C05D52" w:rsidRPr="00A51383" w:rsidRDefault="00C05D52" w:rsidP="00C05D52">
      <w:pPr>
        <w:pStyle w:val="Textkrper"/>
        <w:spacing w:line="276" w:lineRule="auto"/>
        <w:jc w:val="both"/>
        <w:rPr>
          <w:rFonts w:ascii="Calibri" w:hAnsi="Calibri" w:cs="Calibri"/>
          <w:sz w:val="22"/>
          <w:szCs w:val="22"/>
          <w:lang w:val="de-DE"/>
        </w:rPr>
      </w:pPr>
      <w:r w:rsidRPr="00A51383">
        <w:rPr>
          <w:rFonts w:ascii="Calibri" w:hAnsi="Calibri" w:cs="Calibri"/>
          <w:sz w:val="22"/>
          <w:szCs w:val="22"/>
          <w:lang w:val="de-DE"/>
        </w:rPr>
        <w:t xml:space="preserve">Der Aufbau solch multiprofessioneller Beratungsstrukturen zieht entsprechende Konsequenzen für die jeweilige personale Ausstattung nach sich. In Ansätzen zeigt </w:t>
      </w:r>
      <w:r>
        <w:rPr>
          <w:rFonts w:ascii="Calibri" w:hAnsi="Calibri" w:cs="Calibri"/>
          <w:sz w:val="22"/>
          <w:szCs w:val="22"/>
          <w:lang w:val="de-DE"/>
        </w:rPr>
        <w:t>die</w:t>
      </w:r>
      <w:r w:rsidRPr="00A51383">
        <w:rPr>
          <w:rFonts w:ascii="Calibri" w:hAnsi="Calibri" w:cs="Calibri"/>
          <w:sz w:val="22"/>
          <w:szCs w:val="22"/>
          <w:lang w:val="de-DE"/>
        </w:rPr>
        <w:t xml:space="preserve"> Evaluation der psychosozialen Beratung der ZAMAT, dass der Einsatz von Berater*innen, die sowohl in Sozialer Arbeit als auch in Psychologie bzw. Psychotherapie ausgebildet sind, Reibungsverluste zwischen den relevanten Sektoren der Hilfeleistung </w:t>
      </w:r>
      <w:r>
        <w:rPr>
          <w:rFonts w:ascii="Calibri" w:hAnsi="Calibri" w:cs="Calibri"/>
          <w:sz w:val="22"/>
          <w:szCs w:val="22"/>
          <w:lang w:val="de-DE"/>
        </w:rPr>
        <w:t xml:space="preserve">entscheidend </w:t>
      </w:r>
      <w:r w:rsidRPr="00A51383">
        <w:rPr>
          <w:rFonts w:ascii="Calibri" w:hAnsi="Calibri" w:cs="Calibri"/>
          <w:sz w:val="22"/>
          <w:szCs w:val="22"/>
          <w:lang w:val="de-DE"/>
        </w:rPr>
        <w:t xml:space="preserve">reduzieren kann (Ostwaldt </w:t>
      </w:r>
      <w:r>
        <w:rPr>
          <w:rFonts w:ascii="Calibri" w:hAnsi="Calibri" w:cs="Calibri"/>
          <w:sz w:val="22"/>
          <w:szCs w:val="22"/>
          <w:lang w:val="de-DE"/>
        </w:rPr>
        <w:t>und</w:t>
      </w:r>
      <w:r w:rsidRPr="00A51383">
        <w:rPr>
          <w:rFonts w:ascii="Calibri" w:hAnsi="Calibri" w:cs="Calibri"/>
          <w:sz w:val="22"/>
          <w:szCs w:val="22"/>
          <w:lang w:val="de-DE"/>
        </w:rPr>
        <w:t xml:space="preserve"> Walkenhorst 2025). Die Zusammenarbeit von psychosozialer Beratung, Psychotherapie, Polizei, Justiz und dem Gesundheitswesen im Allgemeinen bietet insbesondere vor dem Hintergrund der spezifischen Herausforderungen in der Beratung von Amts- und Mandatsträger*innen einen großen Mehrwert, auch deshalb, weil methodische Herangehensweisen professionsübergreifend je nach Fall flexibel eingesetzt werden können. Dieser Bedarf an mit </w:t>
      </w:r>
      <w:r>
        <w:rPr>
          <w:rFonts w:ascii="Calibri" w:hAnsi="Calibri" w:cs="Calibri"/>
          <w:sz w:val="22"/>
          <w:szCs w:val="22"/>
          <w:lang w:val="de-DE"/>
        </w:rPr>
        <w:t xml:space="preserve">personeller </w:t>
      </w:r>
      <w:r w:rsidRPr="00A51383">
        <w:rPr>
          <w:rFonts w:ascii="Calibri" w:hAnsi="Calibri" w:cs="Calibri"/>
          <w:sz w:val="22"/>
          <w:szCs w:val="22"/>
          <w:lang w:val="de-DE"/>
        </w:rPr>
        <w:t xml:space="preserve">Hybridität gut zu beschreibender Inter- und Multiprofessionalität ist zwar kein Alleinstellungsmerkmal der Beratung von Amts- und Mandatsträger*innen, Ähnliches gilt z. B. auch </w:t>
      </w:r>
      <w:r>
        <w:rPr>
          <w:rFonts w:ascii="Calibri" w:hAnsi="Calibri" w:cs="Calibri"/>
          <w:sz w:val="22"/>
          <w:szCs w:val="22"/>
          <w:lang w:val="de-DE"/>
        </w:rPr>
        <w:t xml:space="preserve">für </w:t>
      </w:r>
      <w:r w:rsidRPr="00A51383">
        <w:rPr>
          <w:rFonts w:ascii="Calibri" w:hAnsi="Calibri" w:cs="Calibri"/>
          <w:sz w:val="22"/>
          <w:szCs w:val="22"/>
          <w:lang w:val="de-DE"/>
        </w:rPr>
        <w:t xml:space="preserve">die Ausstiegs- und Distanzierungsberatung im Kontext des Extremismus (Ostwaldt </w:t>
      </w:r>
      <w:r>
        <w:rPr>
          <w:rFonts w:ascii="Calibri" w:hAnsi="Calibri" w:cs="Calibri"/>
          <w:sz w:val="22"/>
          <w:szCs w:val="22"/>
          <w:lang w:val="de-DE"/>
        </w:rPr>
        <w:t>und</w:t>
      </w:r>
      <w:r w:rsidRPr="00A51383">
        <w:rPr>
          <w:rFonts w:ascii="Calibri" w:hAnsi="Calibri" w:cs="Calibri"/>
          <w:sz w:val="22"/>
          <w:szCs w:val="22"/>
          <w:lang w:val="de-DE"/>
        </w:rPr>
        <w:t xml:space="preserve"> Bergmann 2025; Karliczek et al. 2023), erhält in diesem Rahmen aufgrund der Zielgruppenspezifik aber eine besondere Relevanz.  </w:t>
      </w:r>
    </w:p>
    <w:p w14:paraId="74AE100E" w14:textId="77777777" w:rsidR="00C05D52" w:rsidRDefault="00C05D52" w:rsidP="00C05D52">
      <w:pPr>
        <w:pStyle w:val="Textkrper"/>
        <w:spacing w:line="276" w:lineRule="auto"/>
        <w:jc w:val="both"/>
        <w:rPr>
          <w:rFonts w:ascii="Calibri" w:hAnsi="Calibri" w:cs="Calibri"/>
          <w:sz w:val="22"/>
          <w:szCs w:val="22"/>
          <w:lang w:val="de-DE"/>
        </w:rPr>
      </w:pPr>
      <w:r w:rsidRPr="00A51383">
        <w:rPr>
          <w:rFonts w:ascii="Calibri" w:hAnsi="Calibri" w:cs="Calibri"/>
          <w:sz w:val="22"/>
          <w:szCs w:val="22"/>
          <w:lang w:val="de-DE"/>
        </w:rPr>
        <w:t>Insbesondere in der Zusammenarbeit von Sozialer Arbeit und Psychotherapie liegt aufgrund der strikten Grenzziehung zwischen beiden Professionen in Deutschland erhebliches Entwicklungspotenzial, das zunächst jedoch in den oben beschriebenen umfangreichen Versorgungshürden und -engpässen mündet</w:t>
      </w:r>
      <w:bookmarkStart w:id="102" w:name="X9940cadf545415c878fdaa68ff5a71a5c599758"/>
      <w:r w:rsidRPr="00A51383">
        <w:rPr>
          <w:rFonts w:ascii="Calibri" w:hAnsi="Calibri" w:cs="Calibri"/>
          <w:sz w:val="22"/>
          <w:szCs w:val="22"/>
          <w:lang w:val="de-DE"/>
        </w:rPr>
        <w:t xml:space="preserve">. In Deutschland ist Psychotherapie berufsrechtlich und sozialrechtlich eng geregelt (PsychThG, SGB V). Soziale Arbeit kann zwar psychosoziale Beratung anbieten. Sie darf jedoch keine psychotherapeutischen Leistungen erbringen, die von den gesetzlichen Krankenkassen (GKV) getragen werden. Mit Blick auf internationale Ansätze der Versorgung unterschiedlicher Zielgruppen mit psychotherapeutischen oder ähnlich gelagerten Angeboten scheint es </w:t>
      </w:r>
      <w:r>
        <w:rPr>
          <w:rFonts w:ascii="Calibri" w:hAnsi="Calibri" w:cs="Calibri"/>
          <w:sz w:val="22"/>
          <w:szCs w:val="22"/>
          <w:lang w:val="de-DE"/>
        </w:rPr>
        <w:t>mindestens</w:t>
      </w:r>
      <w:r w:rsidRPr="00A51383">
        <w:rPr>
          <w:rFonts w:ascii="Calibri" w:hAnsi="Calibri" w:cs="Calibri"/>
          <w:sz w:val="22"/>
          <w:szCs w:val="22"/>
          <w:lang w:val="de-DE"/>
        </w:rPr>
        <w:t xml:space="preserve"> sinnvoll, über Ansätze nachzudenken, die es erleichtern mit dem beschriebenen Versorgungsengpass umzugehen. Sog. </w:t>
      </w:r>
      <w:r>
        <w:rPr>
          <w:rFonts w:ascii="Calibri" w:hAnsi="Calibri" w:cs="Calibri"/>
          <w:i/>
          <w:iCs/>
          <w:sz w:val="22"/>
          <w:szCs w:val="22"/>
          <w:lang w:val="de-DE"/>
        </w:rPr>
        <w:t>S</w:t>
      </w:r>
      <w:r w:rsidRPr="003173C8">
        <w:rPr>
          <w:rFonts w:ascii="Calibri" w:hAnsi="Calibri" w:cs="Calibri"/>
          <w:i/>
          <w:iCs/>
          <w:sz w:val="22"/>
          <w:szCs w:val="22"/>
          <w:lang w:val="de-DE"/>
        </w:rPr>
        <w:t>tepped-</w:t>
      </w:r>
      <w:r>
        <w:rPr>
          <w:rFonts w:ascii="Calibri" w:hAnsi="Calibri" w:cs="Calibri"/>
          <w:i/>
          <w:iCs/>
          <w:sz w:val="22"/>
          <w:szCs w:val="22"/>
          <w:lang w:val="de-DE"/>
        </w:rPr>
        <w:t>C</w:t>
      </w:r>
      <w:r w:rsidRPr="003173C8">
        <w:rPr>
          <w:rFonts w:ascii="Calibri" w:hAnsi="Calibri" w:cs="Calibri"/>
          <w:i/>
          <w:iCs/>
          <w:sz w:val="22"/>
          <w:szCs w:val="22"/>
          <w:lang w:val="de-DE"/>
        </w:rPr>
        <w:t>are</w:t>
      </w:r>
      <w:r>
        <w:rPr>
          <w:rFonts w:ascii="Calibri" w:hAnsi="Calibri" w:cs="Calibri"/>
          <w:sz w:val="22"/>
          <w:szCs w:val="22"/>
          <w:lang w:val="de-DE"/>
        </w:rPr>
        <w:t>-</w:t>
      </w:r>
      <w:r w:rsidRPr="00A51383">
        <w:rPr>
          <w:rFonts w:ascii="Calibri" w:hAnsi="Calibri" w:cs="Calibri"/>
          <w:sz w:val="22"/>
          <w:szCs w:val="22"/>
          <w:lang w:val="de-DE"/>
        </w:rPr>
        <w:t>Ansätze könnten hier ein erster Schritt</w:t>
      </w:r>
      <w:r>
        <w:rPr>
          <w:rFonts w:ascii="Calibri" w:hAnsi="Calibri" w:cs="Calibri"/>
          <w:sz w:val="22"/>
          <w:szCs w:val="22"/>
          <w:lang w:val="de-DE"/>
        </w:rPr>
        <w:t xml:space="preserve"> sein</w:t>
      </w:r>
      <w:r w:rsidRPr="00A51383">
        <w:rPr>
          <w:rFonts w:ascii="Calibri" w:hAnsi="Calibri" w:cs="Calibri"/>
          <w:sz w:val="22"/>
          <w:szCs w:val="22"/>
          <w:lang w:val="de-DE"/>
        </w:rPr>
        <w:t xml:space="preserve">. </w:t>
      </w:r>
    </w:p>
    <w:p w14:paraId="54AAE1F2" w14:textId="77777777" w:rsidR="00C05D52" w:rsidRPr="00A51383" w:rsidRDefault="00C05D52" w:rsidP="00C05D52">
      <w:pPr>
        <w:pStyle w:val="Textkrper"/>
        <w:spacing w:line="276" w:lineRule="auto"/>
        <w:jc w:val="both"/>
        <w:rPr>
          <w:rFonts w:ascii="Calibri" w:hAnsi="Calibri" w:cs="Calibri"/>
          <w:sz w:val="22"/>
          <w:szCs w:val="22"/>
          <w:lang w:val="de-DE"/>
        </w:rPr>
      </w:pPr>
      <w:r w:rsidRPr="00A51383">
        <w:rPr>
          <w:rFonts w:ascii="Calibri" w:hAnsi="Calibri" w:cs="Calibri"/>
          <w:sz w:val="22"/>
          <w:szCs w:val="22"/>
          <w:lang w:val="de-DE"/>
        </w:rPr>
        <w:lastRenderedPageBreak/>
        <w:t>Im Kontext der Versorgung von Geflüchteten wird bereits seit einigen Jahren diskutiert, ob gestufte und kollaborative Hilfestrukturen das therapeutische Hilfesystem entlasten können. So schlagen z. B. Schneider et al. (2016) ein Stufensystem vor, in</w:t>
      </w:r>
      <w:r>
        <w:rPr>
          <w:rFonts w:ascii="Calibri" w:hAnsi="Calibri" w:cs="Calibri"/>
          <w:sz w:val="22"/>
          <w:szCs w:val="22"/>
          <w:lang w:val="de-DE"/>
        </w:rPr>
        <w:t xml:space="preserve"> </w:t>
      </w:r>
      <w:r w:rsidRPr="00A51383">
        <w:rPr>
          <w:rFonts w:ascii="Calibri" w:hAnsi="Calibri" w:cs="Calibri"/>
          <w:sz w:val="22"/>
          <w:szCs w:val="22"/>
          <w:lang w:val="de-DE"/>
        </w:rPr>
        <w:t xml:space="preserve">dem Laienhelfer*innen, Online-Angebote und weitere </w:t>
      </w:r>
      <w:r>
        <w:rPr>
          <w:rFonts w:ascii="Calibri" w:hAnsi="Calibri" w:cs="Calibri"/>
          <w:sz w:val="22"/>
          <w:szCs w:val="22"/>
          <w:lang w:val="de-DE"/>
        </w:rPr>
        <w:t xml:space="preserve">Maßnahmen </w:t>
      </w:r>
      <w:r w:rsidRPr="00A51383">
        <w:rPr>
          <w:rFonts w:ascii="Calibri" w:hAnsi="Calibri" w:cs="Calibri"/>
          <w:sz w:val="22"/>
          <w:szCs w:val="22"/>
          <w:lang w:val="de-DE"/>
        </w:rPr>
        <w:t>der eigentlichen Psychotherapie vorgeschaltet</w:t>
      </w:r>
      <w:r>
        <w:rPr>
          <w:rFonts w:ascii="Calibri" w:hAnsi="Calibri" w:cs="Calibri"/>
          <w:sz w:val="22"/>
          <w:szCs w:val="22"/>
          <w:lang w:val="de-DE"/>
        </w:rPr>
        <w:t xml:space="preserve"> werden</w:t>
      </w:r>
      <w:r w:rsidRPr="00A51383">
        <w:rPr>
          <w:rFonts w:ascii="Calibri" w:hAnsi="Calibri" w:cs="Calibri"/>
          <w:sz w:val="22"/>
          <w:szCs w:val="22"/>
          <w:lang w:val="de-DE"/>
        </w:rPr>
        <w:t xml:space="preserve">, </w:t>
      </w:r>
      <w:r>
        <w:rPr>
          <w:rFonts w:ascii="Calibri" w:hAnsi="Calibri" w:cs="Calibri"/>
          <w:sz w:val="22"/>
          <w:szCs w:val="22"/>
          <w:lang w:val="de-DE"/>
        </w:rPr>
        <w:t>dabei jedoch</w:t>
      </w:r>
      <w:r w:rsidRPr="00A51383">
        <w:rPr>
          <w:rFonts w:ascii="Calibri" w:hAnsi="Calibri" w:cs="Calibri"/>
          <w:sz w:val="22"/>
          <w:szCs w:val="22"/>
          <w:lang w:val="de-DE"/>
        </w:rPr>
        <w:t xml:space="preserve"> eng mit ihr verzahnt</w:t>
      </w:r>
      <w:r>
        <w:rPr>
          <w:rFonts w:ascii="Calibri" w:hAnsi="Calibri" w:cs="Calibri"/>
          <w:sz w:val="22"/>
          <w:szCs w:val="22"/>
          <w:lang w:val="de-DE"/>
        </w:rPr>
        <w:t xml:space="preserve"> sind</w:t>
      </w:r>
      <w:r w:rsidRPr="00A51383">
        <w:rPr>
          <w:rFonts w:ascii="Calibri" w:hAnsi="Calibri" w:cs="Calibri"/>
          <w:sz w:val="22"/>
          <w:szCs w:val="22"/>
          <w:lang w:val="de-DE"/>
        </w:rPr>
        <w:t>. Das Ziel eines solchen Ansatzes ist es</w:t>
      </w:r>
      <w:r>
        <w:rPr>
          <w:rFonts w:ascii="Calibri" w:hAnsi="Calibri" w:cs="Calibri"/>
          <w:sz w:val="22"/>
          <w:szCs w:val="22"/>
          <w:lang w:val="de-DE"/>
        </w:rPr>
        <w:t>,</w:t>
      </w:r>
      <w:r w:rsidRPr="00A51383">
        <w:rPr>
          <w:rFonts w:ascii="Calibri" w:hAnsi="Calibri" w:cs="Calibri"/>
          <w:sz w:val="22"/>
          <w:szCs w:val="22"/>
          <w:lang w:val="de-DE"/>
        </w:rPr>
        <w:t xml:space="preserve"> in der Versorgung von Geflüchteten „zielgruppenadaptierte, kultursensible Diagnostik, Indikationsstellung und Therapie zu gewährleisten“ (Schneider et al. 2016</w:t>
      </w:r>
      <w:r>
        <w:rPr>
          <w:rFonts w:ascii="Calibri" w:hAnsi="Calibri" w:cs="Calibri"/>
          <w:sz w:val="22"/>
          <w:szCs w:val="22"/>
          <w:lang w:val="de-DE"/>
        </w:rPr>
        <w:t>,</w:t>
      </w:r>
      <w:r w:rsidRPr="00A51383">
        <w:rPr>
          <w:rFonts w:ascii="Calibri" w:hAnsi="Calibri" w:cs="Calibri"/>
          <w:sz w:val="22"/>
          <w:szCs w:val="22"/>
          <w:lang w:val="de-DE"/>
        </w:rPr>
        <w:t xml:space="preserve"> S. 10). Mit Bezug auf die vorangestellten Ausführungen </w:t>
      </w:r>
      <w:r>
        <w:rPr>
          <w:rFonts w:ascii="Calibri" w:hAnsi="Calibri" w:cs="Calibri"/>
          <w:sz w:val="22"/>
          <w:szCs w:val="22"/>
          <w:lang w:val="de-DE"/>
        </w:rPr>
        <w:t xml:space="preserve">kann geschlussfolgert werden, dass </w:t>
      </w:r>
      <w:r w:rsidRPr="00A51383">
        <w:rPr>
          <w:rFonts w:ascii="Calibri" w:hAnsi="Calibri" w:cs="Calibri"/>
          <w:sz w:val="22"/>
          <w:szCs w:val="22"/>
          <w:lang w:val="de-DE"/>
        </w:rPr>
        <w:t xml:space="preserve">auch Amts- und Mandatsträger*innen </w:t>
      </w:r>
      <w:r>
        <w:rPr>
          <w:rFonts w:ascii="Calibri" w:hAnsi="Calibri" w:cs="Calibri"/>
          <w:sz w:val="22"/>
          <w:szCs w:val="22"/>
          <w:lang w:val="de-DE"/>
        </w:rPr>
        <w:t>eine ähnliche,</w:t>
      </w:r>
      <w:r w:rsidRPr="00A51383">
        <w:rPr>
          <w:rFonts w:ascii="Calibri" w:hAnsi="Calibri" w:cs="Calibri"/>
          <w:sz w:val="22"/>
          <w:szCs w:val="22"/>
          <w:lang w:val="de-DE"/>
        </w:rPr>
        <w:t xml:space="preserve"> zielgruppenadaptierte Versorgung</w:t>
      </w:r>
      <w:r>
        <w:rPr>
          <w:rFonts w:ascii="Calibri" w:hAnsi="Calibri" w:cs="Calibri"/>
          <w:sz w:val="22"/>
          <w:szCs w:val="22"/>
          <w:lang w:val="de-DE"/>
        </w:rPr>
        <w:t xml:space="preserve"> benötigen</w:t>
      </w:r>
      <w:r w:rsidRPr="00A51383">
        <w:rPr>
          <w:rFonts w:ascii="Calibri" w:hAnsi="Calibri" w:cs="Calibri"/>
          <w:sz w:val="22"/>
          <w:szCs w:val="22"/>
          <w:lang w:val="de-DE"/>
        </w:rPr>
        <w:t xml:space="preserve">. </w:t>
      </w:r>
    </w:p>
    <w:p w14:paraId="3AAADA4E" w14:textId="77777777" w:rsidR="00C05D52" w:rsidRDefault="00C05D52" w:rsidP="00C05D52">
      <w:pPr>
        <w:pStyle w:val="Textkrper"/>
        <w:spacing w:line="276" w:lineRule="auto"/>
        <w:jc w:val="both"/>
        <w:rPr>
          <w:rFonts w:ascii="Calibri" w:hAnsi="Calibri" w:cs="Calibri"/>
          <w:sz w:val="22"/>
          <w:szCs w:val="22"/>
          <w:lang w:val="de-DE"/>
        </w:rPr>
      </w:pPr>
      <w:r w:rsidRPr="00A51383">
        <w:rPr>
          <w:rFonts w:ascii="Calibri" w:hAnsi="Calibri" w:cs="Calibri"/>
          <w:sz w:val="22"/>
          <w:szCs w:val="22"/>
          <w:lang w:val="de-DE"/>
        </w:rPr>
        <w:t xml:space="preserve">Ein </w:t>
      </w:r>
      <w:r>
        <w:rPr>
          <w:rFonts w:ascii="Calibri" w:hAnsi="Calibri" w:cs="Calibri"/>
          <w:sz w:val="22"/>
          <w:szCs w:val="22"/>
          <w:lang w:val="de-DE"/>
        </w:rPr>
        <w:t>möglicher Ansatz, um verbindliche Kontingente in Trauma- und Psychotherapie vor dem Hintergrund der angespannten Versorgungslage zu ermöglichen, kann das</w:t>
      </w:r>
      <w:r w:rsidRPr="00A51383">
        <w:rPr>
          <w:rFonts w:ascii="Calibri" w:hAnsi="Calibri" w:cs="Calibri"/>
          <w:sz w:val="22"/>
          <w:szCs w:val="22"/>
          <w:lang w:val="de-DE"/>
        </w:rPr>
        <w:t xml:space="preserve"> u.</w:t>
      </w:r>
      <w:r>
        <w:rPr>
          <w:rFonts w:ascii="Calibri" w:hAnsi="Calibri" w:cs="Calibri"/>
          <w:sz w:val="22"/>
          <w:szCs w:val="22"/>
          <w:lang w:val="de-DE"/>
        </w:rPr>
        <w:t xml:space="preserve"> </w:t>
      </w:r>
      <w:r w:rsidRPr="00A51383">
        <w:rPr>
          <w:rFonts w:ascii="Calibri" w:hAnsi="Calibri" w:cs="Calibri"/>
          <w:sz w:val="22"/>
          <w:szCs w:val="22"/>
          <w:lang w:val="de-DE"/>
        </w:rPr>
        <w:t xml:space="preserve">a. in Kanada und auch in Teilen der USA etablierte Konzept der sog. </w:t>
      </w:r>
      <w:r w:rsidRPr="00561885">
        <w:rPr>
          <w:rFonts w:ascii="Calibri" w:hAnsi="Calibri" w:cs="Calibri"/>
          <w:i/>
          <w:iCs/>
          <w:sz w:val="22"/>
          <w:szCs w:val="22"/>
          <w:lang w:val="de-DE"/>
        </w:rPr>
        <w:t>Clinical Social Workers</w:t>
      </w:r>
      <w:r w:rsidRPr="00A51383">
        <w:rPr>
          <w:rFonts w:ascii="Calibri" w:hAnsi="Calibri" w:cs="Calibri"/>
          <w:sz w:val="22"/>
          <w:szCs w:val="22"/>
          <w:lang w:val="de-DE"/>
        </w:rPr>
        <w:t xml:space="preserve">, die </w:t>
      </w:r>
      <w:r>
        <w:rPr>
          <w:rFonts w:ascii="Calibri" w:hAnsi="Calibri" w:cs="Calibri"/>
          <w:sz w:val="22"/>
          <w:szCs w:val="22"/>
          <w:lang w:val="de-DE"/>
        </w:rPr>
        <w:t xml:space="preserve">ausgebildet und </w:t>
      </w:r>
      <w:r w:rsidRPr="00A51383">
        <w:rPr>
          <w:rFonts w:ascii="Calibri" w:hAnsi="Calibri" w:cs="Calibri"/>
          <w:sz w:val="22"/>
          <w:szCs w:val="22"/>
          <w:lang w:val="de-DE"/>
        </w:rPr>
        <w:t>autorisiert sind,</w:t>
      </w:r>
      <w:r>
        <w:rPr>
          <w:rFonts w:ascii="Calibri" w:hAnsi="Calibri" w:cs="Calibri"/>
          <w:sz w:val="22"/>
          <w:szCs w:val="22"/>
          <w:lang w:val="de-DE"/>
        </w:rPr>
        <w:t xml:space="preserve"> um auch</w:t>
      </w:r>
      <w:r w:rsidRPr="00A51383">
        <w:rPr>
          <w:rFonts w:ascii="Calibri" w:hAnsi="Calibri" w:cs="Calibri"/>
          <w:sz w:val="22"/>
          <w:szCs w:val="22"/>
          <w:lang w:val="de-DE"/>
        </w:rPr>
        <w:t xml:space="preserve"> psychotherapeutische Leistungen zu erbringen </w:t>
      </w:r>
      <w:r>
        <w:rPr>
          <w:rFonts w:ascii="Calibri" w:hAnsi="Calibri" w:cs="Calibri"/>
          <w:sz w:val="22"/>
          <w:szCs w:val="22"/>
          <w:lang w:val="de-DE"/>
        </w:rPr>
        <w:t>(</w:t>
      </w:r>
      <w:r w:rsidRPr="00A51383">
        <w:rPr>
          <w:rFonts w:ascii="Calibri" w:hAnsi="Calibri" w:cs="Calibri"/>
          <w:sz w:val="22"/>
          <w:szCs w:val="22"/>
          <w:lang w:val="de-DE"/>
        </w:rPr>
        <w:t>und abzurechnen</w:t>
      </w:r>
      <w:r>
        <w:rPr>
          <w:rFonts w:ascii="Calibri" w:hAnsi="Calibri" w:cs="Calibri"/>
          <w:sz w:val="22"/>
          <w:szCs w:val="22"/>
          <w:lang w:val="de-DE"/>
        </w:rPr>
        <w:t>), sein</w:t>
      </w:r>
      <w:r w:rsidRPr="00A51383">
        <w:rPr>
          <w:rFonts w:ascii="Calibri" w:hAnsi="Calibri" w:cs="Calibri"/>
          <w:sz w:val="22"/>
          <w:szCs w:val="22"/>
          <w:lang w:val="de-DE"/>
        </w:rPr>
        <w:t>. Für das Hilfesystem in Deutschland scheint eine solch klinische Sozialarbeit als integrierte Versorgungsressource eine</w:t>
      </w:r>
      <w:r>
        <w:rPr>
          <w:rFonts w:ascii="Calibri" w:hAnsi="Calibri" w:cs="Calibri"/>
          <w:sz w:val="22"/>
          <w:szCs w:val="22"/>
          <w:lang w:val="de-DE"/>
        </w:rPr>
        <w:t xml:space="preserve"> vielversprechende</w:t>
      </w:r>
      <w:r w:rsidRPr="00A51383">
        <w:rPr>
          <w:rFonts w:ascii="Calibri" w:hAnsi="Calibri" w:cs="Calibri"/>
          <w:sz w:val="22"/>
          <w:szCs w:val="22"/>
          <w:lang w:val="de-DE"/>
        </w:rPr>
        <w:t xml:space="preserve"> Möglichkeit mit Versorgungsengpässen umzugehen, </w:t>
      </w:r>
      <w:r>
        <w:rPr>
          <w:rFonts w:ascii="Calibri" w:hAnsi="Calibri" w:cs="Calibri"/>
          <w:sz w:val="22"/>
          <w:szCs w:val="22"/>
          <w:lang w:val="de-DE"/>
        </w:rPr>
        <w:t>auch wenn sie umfangreiche strukturelle Reformen (nicht zuletzt in der Ausbildung von Sozialarbeiter*innen) erfordert.</w:t>
      </w:r>
    </w:p>
    <w:p w14:paraId="4785B090" w14:textId="77777777" w:rsidR="00C05D52" w:rsidRDefault="00C05D52" w:rsidP="00C05D52">
      <w:pPr>
        <w:pStyle w:val="Textkrper"/>
        <w:spacing w:line="276" w:lineRule="auto"/>
        <w:jc w:val="both"/>
        <w:rPr>
          <w:rFonts w:ascii="Calibri" w:hAnsi="Calibri" w:cs="Calibri"/>
          <w:sz w:val="22"/>
          <w:szCs w:val="22"/>
          <w:lang w:val="de-DE"/>
        </w:rPr>
      </w:pPr>
      <w:r>
        <w:rPr>
          <w:rFonts w:ascii="Calibri" w:hAnsi="Calibri" w:cs="Calibri"/>
          <w:sz w:val="22"/>
          <w:szCs w:val="22"/>
          <w:lang w:val="de-DE"/>
        </w:rPr>
        <w:t>D</w:t>
      </w:r>
      <w:r w:rsidRPr="000850E0">
        <w:rPr>
          <w:rFonts w:ascii="Calibri" w:hAnsi="Calibri" w:cs="Calibri"/>
          <w:sz w:val="22"/>
          <w:szCs w:val="22"/>
          <w:lang w:val="de-DE"/>
        </w:rPr>
        <w:t>urch gestufte Versorgungsmodelle (</w:t>
      </w:r>
      <w:r w:rsidRPr="003173C8">
        <w:rPr>
          <w:rFonts w:ascii="Calibri" w:hAnsi="Calibri" w:cs="Calibri"/>
          <w:i/>
          <w:iCs/>
          <w:sz w:val="22"/>
          <w:szCs w:val="22"/>
          <w:lang w:val="de-DE"/>
        </w:rPr>
        <w:t>Stepped Care</w:t>
      </w:r>
      <w:r w:rsidRPr="000850E0">
        <w:rPr>
          <w:rFonts w:ascii="Calibri" w:hAnsi="Calibri" w:cs="Calibri"/>
          <w:sz w:val="22"/>
          <w:szCs w:val="22"/>
          <w:lang w:val="de-DE"/>
        </w:rPr>
        <w:t xml:space="preserve">) </w:t>
      </w:r>
      <w:r>
        <w:rPr>
          <w:rFonts w:ascii="Calibri" w:hAnsi="Calibri" w:cs="Calibri"/>
          <w:sz w:val="22"/>
          <w:szCs w:val="22"/>
          <w:lang w:val="de-DE"/>
        </w:rPr>
        <w:t xml:space="preserve">können </w:t>
      </w:r>
      <w:r w:rsidRPr="000850E0">
        <w:rPr>
          <w:rFonts w:ascii="Calibri" w:hAnsi="Calibri" w:cs="Calibri"/>
          <w:sz w:val="22"/>
          <w:szCs w:val="22"/>
          <w:lang w:val="de-DE"/>
        </w:rPr>
        <w:t>die begrenzten psychiatrisch-psychotherapeutischen Ressourcen geschützt und gezielt für Menschen mit schweren Erkrankungen freigehalten werden, während leichtere Störungen mit ressourceneffizienteren Angeboten versorgt werden</w:t>
      </w:r>
      <w:r>
        <w:rPr>
          <w:rFonts w:ascii="Calibri" w:hAnsi="Calibri" w:cs="Calibri"/>
          <w:sz w:val="22"/>
          <w:szCs w:val="22"/>
          <w:lang w:val="de-DE"/>
        </w:rPr>
        <w:t>: „</w:t>
      </w:r>
      <w:r w:rsidRPr="000850E0">
        <w:rPr>
          <w:rFonts w:ascii="Calibri" w:hAnsi="Calibri" w:cs="Calibri"/>
          <w:sz w:val="22"/>
          <w:szCs w:val="22"/>
          <w:lang w:val="de-DE"/>
        </w:rPr>
        <w:t>Hierbei sollten für leichtere Störungsbilder ressourceneffiziente Angebote unter Einschluss von digitalen Elementen und niederschwelligen Beratungs- und Unterstützungsstellen vorgehalten werden, um die psychiatrisch-psychotherapeutischen Behandlungskapazitäten für Menschen mit mittelgradigen und schweren Erkrankungen verfügbar zu halten.</w:t>
      </w:r>
      <w:r>
        <w:rPr>
          <w:rFonts w:ascii="Calibri" w:hAnsi="Calibri" w:cs="Calibri"/>
          <w:sz w:val="22"/>
          <w:szCs w:val="22"/>
          <w:lang w:val="de-DE"/>
        </w:rPr>
        <w:t xml:space="preserve">“ (Jäger 2025, S. 246). Im Rahmen einer solch niedrigschwelligen Versorgung, könnten Personen mit jenen „leichtere[n] Störungsbilder[n]“ (Jäger 2025, S. 246) beispielsweise durch </w:t>
      </w:r>
      <w:r w:rsidRPr="00BD509D">
        <w:rPr>
          <w:rFonts w:ascii="Calibri" w:hAnsi="Calibri" w:cs="Calibri"/>
          <w:i/>
          <w:iCs/>
          <w:sz w:val="22"/>
          <w:szCs w:val="22"/>
          <w:lang w:val="de-DE"/>
        </w:rPr>
        <w:t>Clinical Social Workers</w:t>
      </w:r>
      <w:r>
        <w:rPr>
          <w:rFonts w:ascii="Calibri" w:hAnsi="Calibri" w:cs="Calibri"/>
          <w:sz w:val="22"/>
          <w:szCs w:val="22"/>
          <w:lang w:val="de-DE"/>
        </w:rPr>
        <w:t xml:space="preserve"> beraten werden, deren Wirkungsbereich Jäger weiter definiert als „</w:t>
      </w:r>
      <w:r w:rsidRPr="00BB65F4">
        <w:rPr>
          <w:rFonts w:ascii="Calibri" w:hAnsi="Calibri" w:cs="Calibri"/>
          <w:sz w:val="22"/>
          <w:szCs w:val="22"/>
          <w:lang w:val="de-DE"/>
        </w:rPr>
        <w:t>subklinische</w:t>
      </w:r>
      <w:r>
        <w:rPr>
          <w:rFonts w:ascii="Calibri" w:hAnsi="Calibri" w:cs="Calibri"/>
          <w:sz w:val="22"/>
          <w:szCs w:val="22"/>
          <w:lang w:val="de-DE"/>
        </w:rPr>
        <w:t>[</w:t>
      </w:r>
      <w:r w:rsidRPr="00BB65F4">
        <w:rPr>
          <w:rFonts w:ascii="Calibri" w:hAnsi="Calibri" w:cs="Calibri"/>
          <w:sz w:val="22"/>
          <w:szCs w:val="22"/>
          <w:lang w:val="de-DE"/>
        </w:rPr>
        <w:t>n</w:t>
      </w:r>
      <w:r>
        <w:rPr>
          <w:rFonts w:ascii="Calibri" w:hAnsi="Calibri" w:cs="Calibri"/>
          <w:sz w:val="22"/>
          <w:szCs w:val="22"/>
          <w:lang w:val="de-DE"/>
        </w:rPr>
        <w:t>]</w:t>
      </w:r>
      <w:r w:rsidRPr="00BB65F4">
        <w:rPr>
          <w:rFonts w:ascii="Calibri" w:hAnsi="Calibri" w:cs="Calibri"/>
          <w:sz w:val="22"/>
          <w:szCs w:val="22"/>
          <w:lang w:val="de-DE"/>
        </w:rPr>
        <w:t xml:space="preserve"> Befindlichkeitsstörungen oder</w:t>
      </w:r>
      <w:r>
        <w:rPr>
          <w:rFonts w:ascii="Calibri" w:hAnsi="Calibri" w:cs="Calibri"/>
          <w:sz w:val="22"/>
          <w:szCs w:val="22"/>
          <w:lang w:val="de-DE"/>
        </w:rPr>
        <w:t xml:space="preserve"> </w:t>
      </w:r>
      <w:r w:rsidRPr="00BB65F4">
        <w:rPr>
          <w:rFonts w:ascii="Calibri" w:hAnsi="Calibri" w:cs="Calibri"/>
          <w:sz w:val="22"/>
          <w:szCs w:val="22"/>
          <w:lang w:val="de-DE"/>
        </w:rPr>
        <w:t>leichte</w:t>
      </w:r>
      <w:r>
        <w:rPr>
          <w:rFonts w:ascii="Calibri" w:hAnsi="Calibri" w:cs="Calibri"/>
          <w:sz w:val="22"/>
          <w:szCs w:val="22"/>
          <w:lang w:val="de-DE"/>
        </w:rPr>
        <w:t>[</w:t>
      </w:r>
      <w:r w:rsidRPr="00BB65F4">
        <w:rPr>
          <w:rFonts w:ascii="Calibri" w:hAnsi="Calibri" w:cs="Calibri"/>
          <w:sz w:val="22"/>
          <w:szCs w:val="22"/>
          <w:lang w:val="de-DE"/>
        </w:rPr>
        <w:t>n</w:t>
      </w:r>
      <w:r>
        <w:rPr>
          <w:rFonts w:ascii="Calibri" w:hAnsi="Calibri" w:cs="Calibri"/>
          <w:sz w:val="22"/>
          <w:szCs w:val="22"/>
          <w:lang w:val="de-DE"/>
        </w:rPr>
        <w:t>]</w:t>
      </w:r>
      <w:r w:rsidRPr="00BB65F4">
        <w:rPr>
          <w:rFonts w:ascii="Calibri" w:hAnsi="Calibri" w:cs="Calibri"/>
          <w:sz w:val="22"/>
          <w:szCs w:val="22"/>
          <w:lang w:val="de-DE"/>
        </w:rPr>
        <w:t xml:space="preserve"> Belastungen </w:t>
      </w:r>
      <w:r>
        <w:rPr>
          <w:rFonts w:ascii="Calibri" w:hAnsi="Calibri" w:cs="Calibri"/>
          <w:sz w:val="22"/>
          <w:szCs w:val="22"/>
          <w:lang w:val="de-DE"/>
        </w:rPr>
        <w:t>(…)</w:t>
      </w:r>
      <w:r w:rsidRPr="00BB65F4">
        <w:rPr>
          <w:rFonts w:ascii="Calibri" w:hAnsi="Calibri" w:cs="Calibri"/>
          <w:sz w:val="22"/>
          <w:szCs w:val="22"/>
          <w:lang w:val="de-DE"/>
        </w:rPr>
        <w:t xml:space="preserve">, die </w:t>
      </w:r>
      <w:proofErr w:type="gramStart"/>
      <w:r w:rsidRPr="00BB65F4">
        <w:rPr>
          <w:rFonts w:ascii="Calibri" w:hAnsi="Calibri" w:cs="Calibri"/>
          <w:sz w:val="22"/>
          <w:szCs w:val="22"/>
          <w:lang w:val="de-DE"/>
        </w:rPr>
        <w:t>alleine</w:t>
      </w:r>
      <w:proofErr w:type="gramEnd"/>
      <w:r w:rsidRPr="00BB65F4">
        <w:rPr>
          <w:rFonts w:ascii="Calibri" w:hAnsi="Calibri" w:cs="Calibri"/>
          <w:sz w:val="22"/>
          <w:szCs w:val="22"/>
          <w:lang w:val="de-DE"/>
        </w:rPr>
        <w:t xml:space="preserve"> durch Ansätze</w:t>
      </w:r>
      <w:r>
        <w:rPr>
          <w:rFonts w:ascii="Calibri" w:hAnsi="Calibri" w:cs="Calibri"/>
          <w:sz w:val="22"/>
          <w:szCs w:val="22"/>
          <w:lang w:val="de-DE"/>
        </w:rPr>
        <w:t xml:space="preserve"> </w:t>
      </w:r>
      <w:r w:rsidRPr="00BB65F4">
        <w:rPr>
          <w:rFonts w:ascii="Calibri" w:hAnsi="Calibri" w:cs="Calibri"/>
          <w:sz w:val="22"/>
          <w:szCs w:val="22"/>
          <w:lang w:val="de-DE"/>
        </w:rPr>
        <w:t>der Gesundheitsförderung, Beratung, Coaching und andere Maßnahmen</w:t>
      </w:r>
      <w:r>
        <w:rPr>
          <w:rFonts w:ascii="Calibri" w:hAnsi="Calibri" w:cs="Calibri"/>
          <w:sz w:val="22"/>
          <w:szCs w:val="22"/>
          <w:lang w:val="de-DE"/>
        </w:rPr>
        <w:t xml:space="preserve"> </w:t>
      </w:r>
      <w:r w:rsidRPr="00BB65F4">
        <w:rPr>
          <w:rFonts w:ascii="Calibri" w:hAnsi="Calibri" w:cs="Calibri"/>
          <w:sz w:val="22"/>
          <w:szCs w:val="22"/>
          <w:lang w:val="de-DE"/>
        </w:rPr>
        <w:t>zur Steigerung der Selbstwirksamkeit verbessert werden</w:t>
      </w:r>
      <w:r>
        <w:rPr>
          <w:rFonts w:ascii="Calibri" w:hAnsi="Calibri" w:cs="Calibri"/>
          <w:sz w:val="22"/>
          <w:szCs w:val="22"/>
          <w:lang w:val="de-DE"/>
        </w:rPr>
        <w:t xml:space="preserve"> </w:t>
      </w:r>
      <w:r w:rsidRPr="00BB65F4">
        <w:rPr>
          <w:rFonts w:ascii="Calibri" w:hAnsi="Calibri" w:cs="Calibri"/>
          <w:sz w:val="22"/>
          <w:szCs w:val="22"/>
          <w:lang w:val="de-DE"/>
        </w:rPr>
        <w:t>können.</w:t>
      </w:r>
      <w:r>
        <w:rPr>
          <w:rFonts w:ascii="Calibri" w:hAnsi="Calibri" w:cs="Calibri"/>
          <w:sz w:val="22"/>
          <w:szCs w:val="22"/>
          <w:lang w:val="de-DE"/>
        </w:rPr>
        <w:t xml:space="preserve">“ (2025, S. 246). </w:t>
      </w:r>
    </w:p>
    <w:p w14:paraId="6ED35010" w14:textId="77777777" w:rsidR="00C05D52" w:rsidRDefault="00C05D52" w:rsidP="00C05D52">
      <w:pPr>
        <w:pStyle w:val="Textkrper"/>
        <w:spacing w:line="276" w:lineRule="auto"/>
        <w:jc w:val="both"/>
        <w:rPr>
          <w:rFonts w:ascii="Calibri" w:hAnsi="Calibri" w:cs="Calibri"/>
          <w:sz w:val="22"/>
          <w:szCs w:val="22"/>
          <w:lang w:val="de-DE"/>
        </w:rPr>
      </w:pPr>
      <w:r>
        <w:rPr>
          <w:rFonts w:ascii="Calibri" w:hAnsi="Calibri" w:cs="Calibri"/>
          <w:sz w:val="22"/>
          <w:szCs w:val="22"/>
          <w:lang w:val="de-DE"/>
        </w:rPr>
        <w:t>Die aus der Evaluation der ZAMAT gewonnenen Erkenntnisse lassen den Schluss zu, dass jene im Rahmen der psychosozialen Beratung der ZAMAT an therapeutische Maßnahmen weitergeleitete Amts- und Mandatsträger*innen möglicherweise solche leichteren Störungsbilder aufwiesen (</w:t>
      </w:r>
      <w:r w:rsidRPr="00A51383">
        <w:rPr>
          <w:rFonts w:ascii="Calibri" w:hAnsi="Calibri" w:cs="Calibri"/>
          <w:sz w:val="22"/>
          <w:szCs w:val="22"/>
          <w:lang w:val="de-DE"/>
        </w:rPr>
        <w:t xml:space="preserve">Ostwaldt </w:t>
      </w:r>
      <w:r>
        <w:rPr>
          <w:rFonts w:ascii="Calibri" w:hAnsi="Calibri" w:cs="Calibri"/>
          <w:sz w:val="22"/>
          <w:szCs w:val="22"/>
          <w:lang w:val="de-DE"/>
        </w:rPr>
        <w:t>und</w:t>
      </w:r>
      <w:r w:rsidRPr="00A51383">
        <w:rPr>
          <w:rFonts w:ascii="Calibri" w:hAnsi="Calibri" w:cs="Calibri"/>
          <w:sz w:val="22"/>
          <w:szCs w:val="22"/>
          <w:lang w:val="de-DE"/>
        </w:rPr>
        <w:t xml:space="preserve"> Walkenhorst 2025</w:t>
      </w:r>
      <w:r>
        <w:rPr>
          <w:rFonts w:ascii="Calibri" w:hAnsi="Calibri" w:cs="Calibri"/>
          <w:lang w:val="de-DE"/>
        </w:rPr>
        <w:t>)</w:t>
      </w:r>
      <w:r>
        <w:rPr>
          <w:rFonts w:ascii="Calibri" w:hAnsi="Calibri" w:cs="Calibri"/>
          <w:sz w:val="22"/>
          <w:szCs w:val="22"/>
          <w:lang w:val="de-DE"/>
        </w:rPr>
        <w:t xml:space="preserve">. In diesem Kontext ist weitere empirische Evidenz notwendig, um die Anwendbarkeit der skizzierten Ansätze zu prüfen. </w:t>
      </w:r>
      <w:r w:rsidRPr="00A51383">
        <w:rPr>
          <w:rFonts w:ascii="Calibri" w:hAnsi="Calibri" w:cs="Calibri"/>
          <w:sz w:val="22"/>
          <w:szCs w:val="22"/>
          <w:lang w:val="de-DE"/>
        </w:rPr>
        <w:t xml:space="preserve">Diese (zugegebenermaßen) kurzen Überlegungen bedürfen aber entsprechender konzeptioneller und auch empirischer Unterfütterung. Sie zeigen dennoch mögliche </w:t>
      </w:r>
      <w:r>
        <w:rPr>
          <w:rFonts w:ascii="Calibri" w:hAnsi="Calibri" w:cs="Calibri"/>
          <w:sz w:val="22"/>
          <w:szCs w:val="22"/>
          <w:lang w:val="de-DE"/>
        </w:rPr>
        <w:t>Optionen</w:t>
      </w:r>
      <w:r w:rsidRPr="00A51383">
        <w:rPr>
          <w:rFonts w:ascii="Calibri" w:hAnsi="Calibri" w:cs="Calibri"/>
          <w:sz w:val="22"/>
          <w:szCs w:val="22"/>
          <w:lang w:val="de-DE"/>
        </w:rPr>
        <w:t xml:space="preserve"> auf, die grundsätzliche Versorgung in Deutschland mit psychotherapeutischen Leistungen zu verbessern. Es </w:t>
      </w:r>
      <w:r>
        <w:rPr>
          <w:rFonts w:ascii="Calibri" w:hAnsi="Calibri" w:cs="Calibri"/>
          <w:sz w:val="22"/>
          <w:szCs w:val="22"/>
          <w:lang w:val="de-DE"/>
        </w:rPr>
        <w:t>könnte</w:t>
      </w:r>
      <w:r w:rsidRPr="00A51383">
        <w:rPr>
          <w:rFonts w:ascii="Calibri" w:hAnsi="Calibri" w:cs="Calibri"/>
          <w:sz w:val="22"/>
          <w:szCs w:val="22"/>
          <w:lang w:val="de-DE"/>
        </w:rPr>
        <w:t xml:space="preserve"> deshalb nicht allein darum</w:t>
      </w:r>
      <w:r>
        <w:rPr>
          <w:rFonts w:ascii="Calibri" w:hAnsi="Calibri" w:cs="Calibri"/>
          <w:sz w:val="22"/>
          <w:szCs w:val="22"/>
          <w:lang w:val="de-DE"/>
        </w:rPr>
        <w:t xml:space="preserve"> gehen</w:t>
      </w:r>
      <w:r w:rsidRPr="00A51383">
        <w:rPr>
          <w:rFonts w:ascii="Calibri" w:hAnsi="Calibri" w:cs="Calibri"/>
          <w:sz w:val="22"/>
          <w:szCs w:val="22"/>
          <w:lang w:val="de-DE"/>
        </w:rPr>
        <w:t>,</w:t>
      </w:r>
      <w:bookmarkEnd w:id="102"/>
      <w:r w:rsidRPr="00A51383">
        <w:rPr>
          <w:rFonts w:ascii="Calibri" w:hAnsi="Calibri" w:cs="Calibri"/>
          <w:sz w:val="22"/>
          <w:szCs w:val="22"/>
          <w:lang w:val="de-DE"/>
        </w:rPr>
        <w:t xml:space="preserve"> Versorgungskapazitäten </w:t>
      </w:r>
      <w:r>
        <w:rPr>
          <w:rFonts w:ascii="Calibri" w:hAnsi="Calibri" w:cs="Calibri"/>
          <w:sz w:val="22"/>
          <w:szCs w:val="22"/>
          <w:lang w:val="de-DE"/>
        </w:rPr>
        <w:t xml:space="preserve">zu </w:t>
      </w:r>
      <w:r w:rsidRPr="00A51383">
        <w:rPr>
          <w:rFonts w:ascii="Calibri" w:hAnsi="Calibri" w:cs="Calibri"/>
          <w:sz w:val="22"/>
          <w:szCs w:val="22"/>
          <w:lang w:val="de-DE"/>
        </w:rPr>
        <w:t>erhöhen, sondern auch berufsständische Grenzziehungen daraufhin</w:t>
      </w:r>
      <w:r>
        <w:rPr>
          <w:rFonts w:ascii="Calibri" w:hAnsi="Calibri" w:cs="Calibri"/>
          <w:sz w:val="22"/>
          <w:szCs w:val="22"/>
          <w:lang w:val="de-DE"/>
        </w:rPr>
        <w:t xml:space="preserve"> zu</w:t>
      </w:r>
      <w:r w:rsidRPr="00A51383">
        <w:rPr>
          <w:rFonts w:ascii="Calibri" w:hAnsi="Calibri" w:cs="Calibri"/>
          <w:sz w:val="22"/>
          <w:szCs w:val="22"/>
          <w:lang w:val="de-DE"/>
        </w:rPr>
        <w:t xml:space="preserve"> überprüfen, ob sie demokratiepolitisch funktional sind (Elad-Strenger et al. 2021</w:t>
      </w:r>
      <w:r>
        <w:rPr>
          <w:rFonts w:ascii="Calibri" w:hAnsi="Calibri" w:cs="Calibri"/>
          <w:sz w:val="22"/>
          <w:szCs w:val="22"/>
          <w:lang w:val="de-DE"/>
        </w:rPr>
        <w:t>;</w:t>
      </w:r>
      <w:r w:rsidRPr="00A51383">
        <w:rPr>
          <w:rFonts w:ascii="Calibri" w:hAnsi="Calibri" w:cs="Calibri"/>
          <w:sz w:val="22"/>
          <w:szCs w:val="22"/>
          <w:lang w:val="de-DE"/>
        </w:rPr>
        <w:t xml:space="preserve"> </w:t>
      </w:r>
      <w:hyperlink r:id="rId38" w:history="1">
        <w:r w:rsidRPr="00A51383">
          <w:rPr>
            <w:rFonts w:ascii="Calibri" w:hAnsi="Calibri" w:cs="Calibri"/>
            <w:sz w:val="22"/>
            <w:szCs w:val="22"/>
            <w:lang w:val="de-DE"/>
          </w:rPr>
          <w:t>Meloy et al. 2004)</w:t>
        </w:r>
      </w:hyperlink>
      <w:r w:rsidRPr="00A51383">
        <w:rPr>
          <w:rFonts w:ascii="Calibri" w:hAnsi="Calibri" w:cs="Calibri"/>
          <w:sz w:val="22"/>
          <w:szCs w:val="22"/>
          <w:lang w:val="de-DE"/>
        </w:rPr>
        <w:t>.</w:t>
      </w:r>
      <w:r>
        <w:rPr>
          <w:rFonts w:ascii="Calibri" w:hAnsi="Calibri" w:cs="Calibri"/>
          <w:sz w:val="22"/>
          <w:szCs w:val="22"/>
          <w:lang w:val="de-DE"/>
        </w:rPr>
        <w:t xml:space="preserve"> </w:t>
      </w:r>
    </w:p>
    <w:p w14:paraId="3BB36827" w14:textId="77777777" w:rsidR="00C05D52" w:rsidRPr="00A51383" w:rsidRDefault="00C05D52" w:rsidP="00C05D52">
      <w:pPr>
        <w:pStyle w:val="Textkrper"/>
        <w:spacing w:line="276" w:lineRule="auto"/>
        <w:jc w:val="both"/>
        <w:rPr>
          <w:rFonts w:ascii="Calibri" w:hAnsi="Calibri" w:cs="Calibri"/>
          <w:sz w:val="22"/>
          <w:szCs w:val="22"/>
          <w:lang w:val="de-DE"/>
        </w:rPr>
      </w:pPr>
      <w:r w:rsidRPr="00403641">
        <w:rPr>
          <w:rFonts w:ascii="Calibri" w:hAnsi="Calibri" w:cs="Calibri"/>
          <w:sz w:val="22"/>
          <w:szCs w:val="22"/>
          <w:lang w:val="de-DE"/>
        </w:rPr>
        <w:t xml:space="preserve">Gleichwohl gilt, dass multiprofessionelle Strukturen grundsätzlich in vielen Beratungskontexten einen Mehrwert bieten. Ihre besondere Relevanz in der Arbeit mit Amts- und Mandatsträger*innen ergibt sich aus der komplexen Verschränkung individueller, institutioneller und öffentlicher Belastungsdimensionen. Diese Dreifachstruktur unterscheidet die Zielgruppe von anderen Kontexten, </w:t>
      </w:r>
      <w:r w:rsidRPr="00403641">
        <w:rPr>
          <w:rFonts w:ascii="Calibri" w:hAnsi="Calibri" w:cs="Calibri"/>
          <w:sz w:val="22"/>
          <w:szCs w:val="22"/>
          <w:lang w:val="de-DE"/>
        </w:rPr>
        <w:lastRenderedPageBreak/>
        <w:t xml:space="preserve">in denen multiprofessionelle Zusammenarbeit zwar wünschenswert, aber </w:t>
      </w:r>
      <w:r>
        <w:rPr>
          <w:rFonts w:ascii="Calibri" w:hAnsi="Calibri" w:cs="Calibri"/>
          <w:sz w:val="22"/>
          <w:szCs w:val="22"/>
          <w:lang w:val="de-DE"/>
        </w:rPr>
        <w:t xml:space="preserve">ggf. </w:t>
      </w:r>
      <w:r w:rsidRPr="00403641">
        <w:rPr>
          <w:rFonts w:ascii="Calibri" w:hAnsi="Calibri" w:cs="Calibri"/>
          <w:sz w:val="22"/>
          <w:szCs w:val="22"/>
          <w:lang w:val="de-DE"/>
        </w:rPr>
        <w:t>nicht zwingend notwendig ist.</w:t>
      </w:r>
    </w:p>
    <w:p w14:paraId="6CAF8133" w14:textId="77777777" w:rsidR="00C05D52" w:rsidRPr="00171822" w:rsidRDefault="00C05D52" w:rsidP="00C05D52">
      <w:pPr>
        <w:jc w:val="both"/>
        <w:rPr>
          <w:color w:val="000000" w:themeColor="text1"/>
        </w:rPr>
      </w:pPr>
    </w:p>
    <w:p w14:paraId="23FC63FC" w14:textId="77777777" w:rsidR="00C05D52" w:rsidRPr="00EC366F" w:rsidRDefault="00C05D52" w:rsidP="00EC366F">
      <w:pPr>
        <w:pStyle w:val="berschrift1"/>
        <w:numPr>
          <w:ilvl w:val="0"/>
          <w:numId w:val="0"/>
        </w:numPr>
        <w:spacing w:before="240"/>
        <w:ind w:left="431" w:hanging="431"/>
        <w:rPr>
          <w:rFonts w:asciiTheme="minorHAnsi" w:hAnsiTheme="minorHAnsi" w:cstheme="minorHAnsi"/>
          <w:color w:val="016D72"/>
          <w:sz w:val="32"/>
          <w:szCs w:val="32"/>
        </w:rPr>
      </w:pPr>
      <w:bookmarkStart w:id="103" w:name="_Toc216266106"/>
      <w:r w:rsidRPr="00EC366F">
        <w:rPr>
          <w:rFonts w:asciiTheme="minorHAnsi" w:hAnsiTheme="minorHAnsi" w:cstheme="minorHAnsi"/>
          <w:color w:val="016D72"/>
          <w:sz w:val="32"/>
          <w:szCs w:val="32"/>
        </w:rPr>
        <w:t>6. Ausblick</w:t>
      </w:r>
      <w:bookmarkEnd w:id="103"/>
    </w:p>
    <w:p w14:paraId="2494881A" w14:textId="77777777" w:rsidR="00C05D52" w:rsidRDefault="00C05D52" w:rsidP="00C05D52">
      <w:pPr>
        <w:pStyle w:val="Textkrper"/>
        <w:spacing w:line="276" w:lineRule="auto"/>
        <w:jc w:val="both"/>
        <w:rPr>
          <w:rFonts w:ascii="Calibri" w:hAnsi="Calibri" w:cs="Calibri"/>
          <w:sz w:val="22"/>
          <w:szCs w:val="22"/>
          <w:lang w:val="de-DE"/>
        </w:rPr>
      </w:pPr>
      <w:r w:rsidRPr="00A51383">
        <w:rPr>
          <w:rFonts w:ascii="Calibri" w:hAnsi="Calibri" w:cs="Calibri"/>
          <w:sz w:val="22"/>
          <w:szCs w:val="22"/>
          <w:lang w:val="de-DE"/>
        </w:rPr>
        <w:t>Wie eingangs bereits erwähnt, ist das Ziel dieses Beitrages</w:t>
      </w:r>
      <w:r>
        <w:rPr>
          <w:rFonts w:ascii="Calibri" w:hAnsi="Calibri" w:cs="Calibri"/>
          <w:sz w:val="22"/>
          <w:szCs w:val="22"/>
          <w:lang w:val="de-DE"/>
        </w:rPr>
        <w:t>,</w:t>
      </w:r>
      <w:r w:rsidRPr="00A51383">
        <w:rPr>
          <w:rFonts w:ascii="Calibri" w:hAnsi="Calibri" w:cs="Calibri"/>
          <w:sz w:val="22"/>
          <w:szCs w:val="22"/>
          <w:lang w:val="de-DE"/>
        </w:rPr>
        <w:t xml:space="preserve"> einen </w:t>
      </w:r>
      <w:r w:rsidRPr="00A51383">
        <w:rPr>
          <w:rFonts w:ascii="Calibri" w:hAnsi="Calibri" w:cs="Calibri"/>
          <w:i/>
          <w:iCs/>
          <w:sz w:val="22"/>
          <w:szCs w:val="22"/>
          <w:lang w:val="de-DE"/>
        </w:rPr>
        <w:t>Diskussionsimpuls</w:t>
      </w:r>
      <w:r w:rsidRPr="00A51383">
        <w:rPr>
          <w:rFonts w:ascii="Calibri" w:hAnsi="Calibri" w:cs="Calibri"/>
          <w:sz w:val="22"/>
          <w:szCs w:val="22"/>
          <w:lang w:val="de-DE"/>
        </w:rPr>
        <w:t xml:space="preserve"> zu liefern. Es stellt sich deshalb insbesondere die Frage, wie sich das Praxisfeld der Beratung von Amts- und Mandatsträger*innen weiterentwickeln kann. Zentral scheint hier zunächst die Frage nach der bundesweiten Etablierung spezialisierter Beratungsstellen oder d</w:t>
      </w:r>
      <w:r>
        <w:rPr>
          <w:rFonts w:ascii="Calibri" w:hAnsi="Calibri" w:cs="Calibri"/>
          <w:sz w:val="22"/>
          <w:szCs w:val="22"/>
          <w:lang w:val="de-DE"/>
        </w:rPr>
        <w:t>er</w:t>
      </w:r>
      <w:r w:rsidRPr="00A51383">
        <w:rPr>
          <w:rFonts w:ascii="Calibri" w:hAnsi="Calibri" w:cs="Calibri"/>
          <w:sz w:val="22"/>
          <w:szCs w:val="22"/>
          <w:lang w:val="de-DE"/>
        </w:rPr>
        <w:t xml:space="preserve"> Weiterentwicklung bereits vorhanden</w:t>
      </w:r>
      <w:r>
        <w:rPr>
          <w:rFonts w:ascii="Calibri" w:hAnsi="Calibri" w:cs="Calibri"/>
          <w:sz w:val="22"/>
          <w:szCs w:val="22"/>
          <w:lang w:val="de-DE"/>
        </w:rPr>
        <w:t>er</w:t>
      </w:r>
      <w:r w:rsidRPr="00A51383">
        <w:rPr>
          <w:rFonts w:ascii="Calibri" w:hAnsi="Calibri" w:cs="Calibri"/>
          <w:sz w:val="22"/>
          <w:szCs w:val="22"/>
          <w:lang w:val="de-DE"/>
        </w:rPr>
        <w:t xml:space="preserve"> Strukturen der Opfer- und Betroffenenberatung. Aus Sicht</w:t>
      </w:r>
      <w:r>
        <w:rPr>
          <w:rFonts w:ascii="Calibri" w:hAnsi="Calibri" w:cs="Calibri"/>
          <w:sz w:val="22"/>
          <w:szCs w:val="22"/>
          <w:lang w:val="de-DE"/>
        </w:rPr>
        <w:t xml:space="preserve"> der Autoren</w:t>
      </w:r>
      <w:r w:rsidRPr="00A51383">
        <w:rPr>
          <w:rFonts w:ascii="Calibri" w:hAnsi="Calibri" w:cs="Calibri"/>
          <w:sz w:val="22"/>
          <w:szCs w:val="22"/>
          <w:lang w:val="de-DE"/>
        </w:rPr>
        <w:t xml:space="preserve"> steht außer Frage, dass Hilfestrukturen für Amts- und Mandatsträger*innen eines Ausbaus bedürfen. Unabhängig davon, wie diese strukturelle Ausweitung gestaltet wird, stellt sich die Frage nach der professionsspezifischen Ausrichtung der Hilfsangebote; ob also mehr Psychotherapeut*innen, mehr rein psychosoziale Beratungsstellen, hybride Profile, oder neue, geteilte Zuständigkeiten und Vergütungslogiken </w:t>
      </w:r>
      <w:r>
        <w:rPr>
          <w:rFonts w:ascii="Calibri" w:hAnsi="Calibri" w:cs="Calibri"/>
          <w:sz w:val="22"/>
          <w:szCs w:val="22"/>
          <w:lang w:val="de-DE"/>
        </w:rPr>
        <w:t>vonnöten sind</w:t>
      </w:r>
      <w:r w:rsidRPr="00A51383">
        <w:rPr>
          <w:rFonts w:ascii="Calibri" w:hAnsi="Calibri" w:cs="Calibri"/>
          <w:sz w:val="22"/>
          <w:szCs w:val="22"/>
          <w:lang w:val="de-DE"/>
        </w:rPr>
        <w:t>, um die von Übergriffen und Bedrohungen betroffenen Amts- und Mandatsträger*innen adäquat zu unterstützen</w:t>
      </w:r>
      <w:r>
        <w:rPr>
          <w:rFonts w:ascii="Calibri" w:hAnsi="Calibri" w:cs="Calibri"/>
          <w:sz w:val="22"/>
          <w:szCs w:val="22"/>
          <w:lang w:val="de-DE"/>
        </w:rPr>
        <w:t>.</w:t>
      </w:r>
      <w:r w:rsidRPr="00A51383">
        <w:rPr>
          <w:rFonts w:ascii="Calibri" w:hAnsi="Calibri" w:cs="Calibri"/>
          <w:sz w:val="22"/>
          <w:szCs w:val="22"/>
          <w:lang w:val="de-DE"/>
        </w:rPr>
        <w:t xml:space="preserve"> </w:t>
      </w:r>
      <w:r>
        <w:rPr>
          <w:rFonts w:ascii="Calibri" w:hAnsi="Calibri" w:cs="Calibri"/>
          <w:sz w:val="22"/>
          <w:szCs w:val="22"/>
          <w:lang w:val="de-DE"/>
        </w:rPr>
        <w:t>D</w:t>
      </w:r>
      <w:r w:rsidRPr="00A51383">
        <w:rPr>
          <w:rFonts w:ascii="Calibri" w:hAnsi="Calibri" w:cs="Calibri"/>
          <w:sz w:val="22"/>
          <w:szCs w:val="22"/>
          <w:lang w:val="de-DE"/>
        </w:rPr>
        <w:t xml:space="preserve">arüber hinaus </w:t>
      </w:r>
      <w:r>
        <w:rPr>
          <w:rFonts w:ascii="Calibri" w:hAnsi="Calibri" w:cs="Calibri"/>
          <w:sz w:val="22"/>
          <w:szCs w:val="22"/>
          <w:lang w:val="de-DE"/>
        </w:rPr>
        <w:t xml:space="preserve">scheint </w:t>
      </w:r>
      <w:r w:rsidRPr="00A51383">
        <w:rPr>
          <w:rFonts w:ascii="Calibri" w:hAnsi="Calibri" w:cs="Calibri"/>
          <w:sz w:val="22"/>
          <w:szCs w:val="22"/>
          <w:lang w:val="de-DE"/>
        </w:rPr>
        <w:t xml:space="preserve">vor allem ein Austarieren von Qualitätssicherung und Entbürokratisierung der Hilfestrukturen zentral, um </w:t>
      </w:r>
      <w:r>
        <w:rPr>
          <w:rFonts w:ascii="Calibri" w:hAnsi="Calibri" w:cs="Calibri"/>
          <w:sz w:val="22"/>
          <w:szCs w:val="22"/>
          <w:lang w:val="de-DE"/>
        </w:rPr>
        <w:t xml:space="preserve">sowohl </w:t>
      </w:r>
      <w:r w:rsidRPr="00A51383">
        <w:rPr>
          <w:rFonts w:ascii="Calibri" w:hAnsi="Calibri" w:cs="Calibri"/>
          <w:sz w:val="22"/>
          <w:szCs w:val="22"/>
          <w:lang w:val="de-DE"/>
        </w:rPr>
        <w:t xml:space="preserve">Schnelligkeit der bereitgestellten Hilfe </w:t>
      </w:r>
      <w:r>
        <w:rPr>
          <w:rFonts w:ascii="Calibri" w:hAnsi="Calibri" w:cs="Calibri"/>
          <w:sz w:val="22"/>
          <w:szCs w:val="22"/>
          <w:lang w:val="de-DE"/>
        </w:rPr>
        <w:t>als auch</w:t>
      </w:r>
      <w:r w:rsidRPr="00A51383">
        <w:rPr>
          <w:rFonts w:ascii="Calibri" w:hAnsi="Calibri" w:cs="Calibri"/>
          <w:sz w:val="22"/>
          <w:szCs w:val="22"/>
          <w:lang w:val="de-DE"/>
        </w:rPr>
        <w:t xml:space="preserve"> Verlässlichkeit und diskrete</w:t>
      </w:r>
      <w:r>
        <w:rPr>
          <w:rFonts w:ascii="Calibri" w:hAnsi="Calibri" w:cs="Calibri"/>
          <w:sz w:val="22"/>
          <w:szCs w:val="22"/>
          <w:lang w:val="de-DE"/>
        </w:rPr>
        <w:t>n</w:t>
      </w:r>
      <w:r w:rsidRPr="00A51383">
        <w:rPr>
          <w:rFonts w:ascii="Calibri" w:hAnsi="Calibri" w:cs="Calibri"/>
          <w:sz w:val="22"/>
          <w:szCs w:val="22"/>
          <w:lang w:val="de-DE"/>
        </w:rPr>
        <w:t xml:space="preserve"> Umgang mit den spezifischen Fällen zu gewährleisten. Schlussendlich stellt sich die Frage, ob gesetzliche Anpassungen notwendig sind, um die Zielgruppe der Amts- und Mandatsträger*innen aus Beratungsperspektive abzusichern, auch deshalb, weil es sich hier zum einen um eine exponierte Zielgruppe handelt und zum anderen das politische Engagement von Bürger*innen notwendige Voraussetzung für eine funktionierende Demokratie darstellt, es somit im gesellschaftlichen Interesse sein muss, Hilfestrukturen zu schaffen, die Amts- und Mandatsträger*innen eng begleiten.</w:t>
      </w:r>
      <w:r>
        <w:rPr>
          <w:rFonts w:ascii="Calibri" w:hAnsi="Calibri" w:cs="Calibri"/>
          <w:sz w:val="22"/>
          <w:szCs w:val="22"/>
          <w:lang w:val="de-DE"/>
        </w:rPr>
        <w:t xml:space="preserve"> </w:t>
      </w:r>
    </w:p>
    <w:p w14:paraId="713600D8" w14:textId="77777777" w:rsidR="00C05D52" w:rsidRDefault="00C05D52" w:rsidP="00C05D52">
      <w:pPr>
        <w:pStyle w:val="Textkrper"/>
        <w:spacing w:line="276" w:lineRule="auto"/>
        <w:jc w:val="both"/>
        <w:rPr>
          <w:rFonts w:ascii="Calibri" w:hAnsi="Calibri" w:cs="Calibri"/>
          <w:sz w:val="22"/>
          <w:szCs w:val="22"/>
          <w:lang w:val="de-DE"/>
        </w:rPr>
      </w:pPr>
      <w:r w:rsidRPr="000850E0">
        <w:rPr>
          <w:rFonts w:ascii="Calibri" w:hAnsi="Calibri" w:cs="Calibri"/>
          <w:sz w:val="22"/>
          <w:szCs w:val="22"/>
          <w:lang w:val="de-DE"/>
        </w:rPr>
        <w:t>Die im Beitrag skizzierten Überlegungen zu priorisierten Zugängen verstehen sich ausdrücklich nicht als Forderung nach einer bevorzugten Behandlung gegenüber anderen Bevölkerungsgruppen. Vielmehr soll die Debatte darüber eröffne</w:t>
      </w:r>
      <w:r>
        <w:rPr>
          <w:rFonts w:ascii="Calibri" w:hAnsi="Calibri" w:cs="Calibri"/>
          <w:sz w:val="22"/>
          <w:szCs w:val="22"/>
          <w:lang w:val="de-DE"/>
        </w:rPr>
        <w:t>t werden</w:t>
      </w:r>
      <w:r w:rsidRPr="000850E0">
        <w:rPr>
          <w:rFonts w:ascii="Calibri" w:hAnsi="Calibri" w:cs="Calibri"/>
          <w:sz w:val="22"/>
          <w:szCs w:val="22"/>
          <w:lang w:val="de-DE"/>
        </w:rPr>
        <w:t>, ob und wie besondere berufliche Rollen, die für das Funktionieren demokratischer Prozesse essenziell sind, spezifische Schutzmechanismen benötigen</w:t>
      </w:r>
      <w:r>
        <w:rPr>
          <w:rFonts w:ascii="Calibri" w:hAnsi="Calibri" w:cs="Calibri"/>
          <w:sz w:val="22"/>
          <w:szCs w:val="22"/>
          <w:lang w:val="de-DE"/>
        </w:rPr>
        <w:t xml:space="preserve">, </w:t>
      </w:r>
      <w:r w:rsidRPr="000850E0">
        <w:rPr>
          <w:rFonts w:ascii="Calibri" w:hAnsi="Calibri" w:cs="Calibri"/>
          <w:sz w:val="22"/>
          <w:szCs w:val="22"/>
          <w:lang w:val="de-DE"/>
        </w:rPr>
        <w:t>ähnlich wie sie für Einsatzkräfte, Journalist</w:t>
      </w:r>
      <w:r w:rsidRPr="006B0B1C">
        <w:rPr>
          <w:rFonts w:ascii="Calibri" w:hAnsi="Calibri" w:cs="Calibri"/>
          <w:sz w:val="22"/>
          <w:szCs w:val="22"/>
          <w:lang w:val="de-DE"/>
        </w:rPr>
        <w:t>*</w:t>
      </w:r>
      <w:r w:rsidRPr="000850E0">
        <w:rPr>
          <w:rFonts w:ascii="Calibri" w:hAnsi="Calibri" w:cs="Calibri"/>
          <w:sz w:val="22"/>
          <w:szCs w:val="22"/>
          <w:lang w:val="de-DE"/>
        </w:rPr>
        <w:t>innen oder Richter</w:t>
      </w:r>
      <w:r>
        <w:rPr>
          <w:rFonts w:ascii="Calibri" w:hAnsi="Calibri" w:cs="Calibri"/>
          <w:i/>
          <w:iCs/>
          <w:sz w:val="22"/>
          <w:szCs w:val="22"/>
          <w:lang w:val="de-DE"/>
        </w:rPr>
        <w:t>*</w:t>
      </w:r>
      <w:r w:rsidRPr="000850E0">
        <w:rPr>
          <w:rFonts w:ascii="Calibri" w:hAnsi="Calibri" w:cs="Calibri"/>
          <w:sz w:val="22"/>
          <w:szCs w:val="22"/>
          <w:lang w:val="de-DE"/>
        </w:rPr>
        <w:t>innen bestehen. Diese ethische Spannung sollte transparent diskutiert werden.</w:t>
      </w:r>
    </w:p>
    <w:p w14:paraId="3FCB4F89" w14:textId="77777777" w:rsidR="00C05D52" w:rsidRDefault="00C05D52" w:rsidP="00C05D52">
      <w:pPr>
        <w:rPr>
          <w:rFonts w:ascii="Calibri" w:hAnsi="Calibri" w:cs="Calibri"/>
        </w:rPr>
      </w:pPr>
      <w:r>
        <w:rPr>
          <w:rFonts w:ascii="Calibri" w:hAnsi="Calibri" w:cs="Calibri"/>
        </w:rPr>
        <w:br w:type="page"/>
      </w:r>
    </w:p>
    <w:p w14:paraId="75B7185A" w14:textId="77777777" w:rsidR="00C05D52" w:rsidRPr="00FD3CF3" w:rsidRDefault="00C05D52" w:rsidP="00FD3CF3">
      <w:pPr>
        <w:pStyle w:val="berschrift1"/>
        <w:numPr>
          <w:ilvl w:val="0"/>
          <w:numId w:val="0"/>
        </w:numPr>
        <w:spacing w:before="240"/>
        <w:ind w:left="431" w:hanging="431"/>
        <w:rPr>
          <w:rFonts w:asciiTheme="minorHAnsi" w:hAnsiTheme="minorHAnsi" w:cstheme="minorHAnsi"/>
          <w:color w:val="016D72"/>
          <w:sz w:val="32"/>
          <w:szCs w:val="32"/>
        </w:rPr>
      </w:pPr>
      <w:bookmarkStart w:id="104" w:name="_Toc216266107"/>
      <w:r w:rsidRPr="00FD3CF3">
        <w:rPr>
          <w:rFonts w:asciiTheme="minorHAnsi" w:hAnsiTheme="minorHAnsi" w:cstheme="minorHAnsi"/>
          <w:color w:val="016D72"/>
          <w:sz w:val="32"/>
          <w:szCs w:val="32"/>
        </w:rPr>
        <w:lastRenderedPageBreak/>
        <w:t>7. Empfehlungen und Impulse: Von der Insel-Lösung zur demokratiepolitischen Infrastruktur</w:t>
      </w:r>
      <w:bookmarkEnd w:id="104"/>
    </w:p>
    <w:p w14:paraId="0C2E2FE2" w14:textId="77777777" w:rsidR="00C05D52" w:rsidRPr="00A51383" w:rsidRDefault="00C05D52" w:rsidP="00C05D52">
      <w:pPr>
        <w:pStyle w:val="Textkrper"/>
        <w:spacing w:line="276" w:lineRule="auto"/>
        <w:jc w:val="both"/>
        <w:rPr>
          <w:rFonts w:ascii="Calibri" w:hAnsi="Calibri" w:cs="Calibri"/>
          <w:sz w:val="22"/>
          <w:szCs w:val="22"/>
          <w:lang w:val="de-DE"/>
        </w:rPr>
      </w:pPr>
      <w:r w:rsidRPr="00A51383">
        <w:rPr>
          <w:rFonts w:ascii="Calibri" w:hAnsi="Calibri" w:cs="Calibri"/>
          <w:sz w:val="22"/>
          <w:szCs w:val="22"/>
          <w:lang w:val="de-DE"/>
        </w:rPr>
        <w:t xml:space="preserve">Anschließend an die vorausgegangenen Ausführungen </w:t>
      </w:r>
      <w:r>
        <w:rPr>
          <w:rFonts w:ascii="Calibri" w:hAnsi="Calibri" w:cs="Calibri"/>
          <w:sz w:val="22"/>
          <w:szCs w:val="22"/>
          <w:lang w:val="de-DE"/>
        </w:rPr>
        <w:t>schließt dieser Beitrag mit</w:t>
      </w:r>
      <w:r w:rsidRPr="00A51383">
        <w:rPr>
          <w:rFonts w:ascii="Calibri" w:hAnsi="Calibri" w:cs="Calibri"/>
          <w:sz w:val="22"/>
          <w:szCs w:val="22"/>
          <w:lang w:val="de-DE"/>
        </w:rPr>
        <w:t xml:space="preserve"> konkrete</w:t>
      </w:r>
      <w:r>
        <w:rPr>
          <w:rFonts w:ascii="Calibri" w:hAnsi="Calibri" w:cs="Calibri"/>
          <w:sz w:val="22"/>
          <w:szCs w:val="22"/>
          <w:lang w:val="de-DE"/>
        </w:rPr>
        <w:t>n</w:t>
      </w:r>
      <w:r w:rsidRPr="00A51383">
        <w:rPr>
          <w:rFonts w:ascii="Calibri" w:hAnsi="Calibri" w:cs="Calibri"/>
          <w:sz w:val="22"/>
          <w:szCs w:val="22"/>
          <w:lang w:val="de-DE"/>
        </w:rPr>
        <w:t xml:space="preserve"> Handlungsempfehlungen bzw. Impulse</w:t>
      </w:r>
      <w:r>
        <w:rPr>
          <w:rFonts w:ascii="Calibri" w:hAnsi="Calibri" w:cs="Calibri"/>
          <w:sz w:val="22"/>
          <w:szCs w:val="22"/>
          <w:lang w:val="de-DE"/>
        </w:rPr>
        <w:t>n</w:t>
      </w:r>
      <w:r w:rsidRPr="00A51383">
        <w:rPr>
          <w:rFonts w:ascii="Calibri" w:hAnsi="Calibri" w:cs="Calibri"/>
          <w:sz w:val="22"/>
          <w:szCs w:val="22"/>
          <w:lang w:val="de-DE"/>
        </w:rPr>
        <w:t xml:space="preserve"> für Politik, Forschung und Praxis</w:t>
      </w:r>
      <w:r>
        <w:rPr>
          <w:rFonts w:ascii="Calibri" w:hAnsi="Calibri" w:cs="Calibri"/>
          <w:sz w:val="22"/>
          <w:szCs w:val="22"/>
          <w:lang w:val="de-DE"/>
        </w:rPr>
        <w:t>,</w:t>
      </w:r>
      <w:r w:rsidRPr="00A51383">
        <w:rPr>
          <w:rFonts w:ascii="Calibri" w:hAnsi="Calibri" w:cs="Calibri"/>
          <w:sz w:val="22"/>
          <w:szCs w:val="22"/>
          <w:lang w:val="de-DE"/>
        </w:rPr>
        <w:t xml:space="preserve"> </w:t>
      </w:r>
      <w:r>
        <w:rPr>
          <w:rFonts w:ascii="Calibri" w:hAnsi="Calibri" w:cs="Calibri"/>
          <w:sz w:val="22"/>
          <w:szCs w:val="22"/>
          <w:lang w:val="de-DE"/>
        </w:rPr>
        <w:t>die zur Diskussion gestellt werden:</w:t>
      </w:r>
    </w:p>
    <w:p w14:paraId="62EF95E4" w14:textId="77777777" w:rsidR="00C05D52" w:rsidRPr="00A51383" w:rsidRDefault="00C05D52" w:rsidP="00C05D52">
      <w:pPr>
        <w:numPr>
          <w:ilvl w:val="0"/>
          <w:numId w:val="28"/>
        </w:numPr>
        <w:spacing w:after="200" w:line="276" w:lineRule="auto"/>
        <w:jc w:val="both"/>
        <w:rPr>
          <w:rFonts w:ascii="Calibri" w:hAnsi="Calibri" w:cs="Calibri"/>
        </w:rPr>
      </w:pPr>
      <w:r w:rsidRPr="00A51383">
        <w:rPr>
          <w:rFonts w:ascii="Calibri" w:hAnsi="Calibri" w:cs="Calibri"/>
        </w:rPr>
        <w:t xml:space="preserve">Mit dem Ausbau bundesweiter, auf die Beratung von Amts- und Mandatsträger*innen spezialisierter Beratungsstellen können Personen, die sich in politischen Strukturen Deutschlands engagieren, bestmöglich unterstützt werden. Die Inanspruchnahme der Hilfeleistungen sollte aufgrund der „besonderen“ Zielgruppe jederzeit diskret möglich sein. Eine Struktur </w:t>
      </w:r>
      <w:r>
        <w:rPr>
          <w:rFonts w:ascii="Calibri" w:hAnsi="Calibri" w:cs="Calibri"/>
        </w:rPr>
        <w:t xml:space="preserve">psychosozialer Beratung </w:t>
      </w:r>
      <w:r w:rsidRPr="00A51383">
        <w:rPr>
          <w:rFonts w:ascii="Calibri" w:hAnsi="Calibri" w:cs="Calibri"/>
        </w:rPr>
        <w:t>nach dem Vorbild der ZAMAT in Baden-Württemberg kann helfen, um multiprofessionelle Beratung zu ermöglichen; eine institutionelle Unabhängigkeit bei gleichzeitiger enger Vernetzung mit der Polizei, der Justiz und weiteren nicht-staatlichen Einrichtungen</w:t>
      </w:r>
      <w:r>
        <w:rPr>
          <w:rFonts w:ascii="Calibri" w:hAnsi="Calibri" w:cs="Calibri"/>
        </w:rPr>
        <w:t xml:space="preserve"> </w:t>
      </w:r>
      <w:r w:rsidRPr="00A51383">
        <w:rPr>
          <w:rFonts w:ascii="Calibri" w:hAnsi="Calibri" w:cs="Calibri"/>
        </w:rPr>
        <w:t xml:space="preserve">scheint jedoch eine geeignetere Form der Anbindung darzustellen. Wichtig sind zudem klar geregelte Datenschutz- und Schweigepflichtstandards sowie die Etablierung einer Krisen-Hotline mit einer </w:t>
      </w:r>
      <w:r w:rsidRPr="00A51383">
        <w:rPr>
          <w:rFonts w:ascii="Calibri" w:hAnsi="Calibri" w:cs="Calibri"/>
          <w:i/>
          <w:iCs/>
        </w:rPr>
        <w:t xml:space="preserve">Rund-um-die-Uhr-Erreichbarkeit. </w:t>
      </w:r>
      <w:r w:rsidRPr="00A51383">
        <w:rPr>
          <w:rFonts w:ascii="Calibri" w:hAnsi="Calibri" w:cs="Calibri"/>
        </w:rPr>
        <w:t>Eine solche Beratungshotline könnte bundesweit eingerichtet werden und bei konkretem Beratungsbedarf an die jeweiligen Beratungsstellen in den Bundesländern vermitteln. Ein vergleichbares Konzept hat das Bundesamt für Migration und Flüchtlinge</w:t>
      </w:r>
      <w:r>
        <w:rPr>
          <w:rFonts w:ascii="Calibri" w:hAnsi="Calibri" w:cs="Calibri"/>
        </w:rPr>
        <w:t xml:space="preserve"> (BAMF)</w:t>
      </w:r>
      <w:r w:rsidRPr="00A51383">
        <w:rPr>
          <w:rFonts w:ascii="Calibri" w:hAnsi="Calibri" w:cs="Calibri"/>
        </w:rPr>
        <w:t xml:space="preserve"> mit der Beratungsstelle Radikalisierung etabliert: Die bundesweite Hotline nimmt Erstanfragen entgegen, fungiert als Clearingstelle und leitet die Anfragen weiter.</w:t>
      </w:r>
      <w:r>
        <w:rPr>
          <w:rStyle w:val="Funotenzeichen"/>
          <w:rFonts w:ascii="Calibri" w:hAnsi="Calibri" w:cs="Calibri"/>
        </w:rPr>
        <w:footnoteReference w:id="56"/>
      </w:r>
    </w:p>
    <w:p w14:paraId="1C562CCA" w14:textId="77777777" w:rsidR="00C05D52" w:rsidRPr="00A51383" w:rsidRDefault="00C05D52" w:rsidP="00C05D52">
      <w:pPr>
        <w:numPr>
          <w:ilvl w:val="0"/>
          <w:numId w:val="28"/>
        </w:numPr>
        <w:spacing w:after="200" w:line="276" w:lineRule="auto"/>
        <w:jc w:val="both"/>
        <w:rPr>
          <w:rFonts w:ascii="Calibri" w:hAnsi="Calibri" w:cs="Calibri"/>
        </w:rPr>
      </w:pPr>
      <w:r w:rsidRPr="00A51383">
        <w:rPr>
          <w:rFonts w:ascii="Calibri" w:hAnsi="Calibri" w:cs="Calibri"/>
        </w:rPr>
        <w:t>Die Beratung von Amts- und Mandatsträger*innen steht und fällt mit multi- und interdisziplinären Perspektiven</w:t>
      </w:r>
      <w:r>
        <w:rPr>
          <w:rFonts w:ascii="Calibri" w:hAnsi="Calibri" w:cs="Calibri"/>
        </w:rPr>
        <w:t xml:space="preserve"> -</w:t>
      </w:r>
      <w:r w:rsidRPr="00A51383">
        <w:rPr>
          <w:rFonts w:ascii="Calibri" w:hAnsi="Calibri" w:cs="Calibri"/>
        </w:rPr>
        <w:t xml:space="preserve"> hier insbesondere diejenigen der Sozialen Arbeit und der Psychotherapie. Die Etablierung multiprofessioneller Standards und der Möglichkeit Beratungsarbeit über Professionsgrenzen hinaus zu finanzieren, ermöglicht belastbare Kooperationen zwischen Sozialer Arbeit, Psychotherapie, Opferberatungsstellen und Sicherheitsbehörden. Eine enge Verzahnung der Professionen, möglicherweise auch innerhalb der Beratungsstellen, sollte eine zeitnahe Beratung der Betroffenen ermöglichen. </w:t>
      </w:r>
      <w:r w:rsidRPr="004C1F1C">
        <w:rPr>
          <w:rFonts w:ascii="Calibri" w:hAnsi="Calibri" w:cs="Calibri"/>
          <w:i/>
          <w:iCs/>
        </w:rPr>
        <w:t>Stepped-Care</w:t>
      </w:r>
      <w:r>
        <w:rPr>
          <w:rFonts w:ascii="Calibri" w:hAnsi="Calibri" w:cs="Calibri"/>
        </w:rPr>
        <w:t>-</w:t>
      </w:r>
      <w:r w:rsidRPr="00A51383">
        <w:rPr>
          <w:rFonts w:ascii="Calibri" w:hAnsi="Calibri" w:cs="Calibri"/>
        </w:rPr>
        <w:t xml:space="preserve">Modelle können dazu beitragen, Hilfestrukturen durch eine Form des </w:t>
      </w:r>
      <w:r w:rsidRPr="004C1F1C">
        <w:rPr>
          <w:rFonts w:ascii="Calibri" w:hAnsi="Calibri" w:cs="Calibri"/>
          <w:i/>
          <w:iCs/>
        </w:rPr>
        <w:t>Case Management</w:t>
      </w:r>
      <w:r w:rsidRPr="00A51383">
        <w:rPr>
          <w:rFonts w:ascii="Calibri" w:hAnsi="Calibri" w:cs="Calibri"/>
        </w:rPr>
        <w:t xml:space="preserve"> zu entlasten. </w:t>
      </w:r>
      <w:r>
        <w:rPr>
          <w:rFonts w:ascii="Calibri" w:hAnsi="Calibri" w:cs="Calibri"/>
        </w:rPr>
        <w:t>E</w:t>
      </w:r>
      <w:r w:rsidRPr="00A51383">
        <w:rPr>
          <w:rFonts w:ascii="Calibri" w:hAnsi="Calibri" w:cs="Calibri"/>
        </w:rPr>
        <w:t xml:space="preserve">s </w:t>
      </w:r>
      <w:r>
        <w:rPr>
          <w:rFonts w:ascii="Calibri" w:hAnsi="Calibri" w:cs="Calibri"/>
        </w:rPr>
        <w:t xml:space="preserve">sollte </w:t>
      </w:r>
      <w:r w:rsidRPr="00A51383">
        <w:rPr>
          <w:rFonts w:ascii="Calibri" w:hAnsi="Calibri" w:cs="Calibri"/>
        </w:rPr>
        <w:t xml:space="preserve">das Ziel sein, politisch Engagierten innerhalb kurzer Zeit Hilfe zukommen zu lassen. Inwiefern dazu eine priorisierte Bearbeitung </w:t>
      </w:r>
      <w:r>
        <w:rPr>
          <w:rFonts w:ascii="Calibri" w:hAnsi="Calibri" w:cs="Calibri"/>
        </w:rPr>
        <w:t>aller</w:t>
      </w:r>
      <w:r w:rsidRPr="00A51383">
        <w:rPr>
          <w:rFonts w:ascii="Calibri" w:hAnsi="Calibri" w:cs="Calibri"/>
        </w:rPr>
        <w:t xml:space="preserve"> Fälle </w:t>
      </w:r>
      <w:r>
        <w:rPr>
          <w:rFonts w:ascii="Calibri" w:hAnsi="Calibri" w:cs="Calibri"/>
        </w:rPr>
        <w:t xml:space="preserve">im Sinne </w:t>
      </w:r>
      <w:r w:rsidRPr="00A51383">
        <w:rPr>
          <w:rFonts w:ascii="Calibri" w:hAnsi="Calibri" w:cs="Calibri"/>
        </w:rPr>
        <w:t xml:space="preserve">von Fast-Track-Modellen denkbar, ethisch vertretbar und notwendig ist, sollte offen diskutiert werden. </w:t>
      </w:r>
    </w:p>
    <w:p w14:paraId="3100F682" w14:textId="77777777" w:rsidR="00C05D52" w:rsidRPr="00A51383" w:rsidRDefault="00C05D52" w:rsidP="00C05D52">
      <w:pPr>
        <w:numPr>
          <w:ilvl w:val="0"/>
          <w:numId w:val="28"/>
        </w:numPr>
        <w:spacing w:after="200" w:line="276" w:lineRule="auto"/>
        <w:jc w:val="both"/>
        <w:rPr>
          <w:rFonts w:ascii="Calibri" w:hAnsi="Calibri" w:cs="Calibri"/>
        </w:rPr>
      </w:pPr>
      <w:r w:rsidRPr="00A51383">
        <w:rPr>
          <w:rFonts w:ascii="Calibri" w:hAnsi="Calibri" w:cs="Calibri"/>
        </w:rPr>
        <w:t>Neben dem Ausbau von Angeboten der Beratung können begleitende Maßnahmen bereits präventiv und proaktiv ansetzen</w:t>
      </w:r>
      <w:r>
        <w:rPr>
          <w:rFonts w:ascii="Calibri" w:hAnsi="Calibri" w:cs="Calibri"/>
        </w:rPr>
        <w:t>; beispielsweise Sicherheitsschulungen, die v</w:t>
      </w:r>
      <w:r w:rsidRPr="00A51383">
        <w:rPr>
          <w:rFonts w:ascii="Calibri" w:hAnsi="Calibri" w:cs="Calibri"/>
        </w:rPr>
        <w:t xml:space="preserve">on </w:t>
      </w:r>
      <w:r>
        <w:rPr>
          <w:rFonts w:ascii="Calibri" w:hAnsi="Calibri" w:cs="Calibri"/>
        </w:rPr>
        <w:t>bestehenden</w:t>
      </w:r>
      <w:r w:rsidRPr="00A51383">
        <w:rPr>
          <w:rFonts w:ascii="Calibri" w:hAnsi="Calibri" w:cs="Calibri"/>
        </w:rPr>
        <w:t xml:space="preserve"> Beratungsstellen</w:t>
      </w:r>
      <w:r>
        <w:rPr>
          <w:rFonts w:ascii="Calibri" w:hAnsi="Calibri" w:cs="Calibri"/>
        </w:rPr>
        <w:t xml:space="preserve"> in Teilen</w:t>
      </w:r>
      <w:r w:rsidRPr="00A51383">
        <w:rPr>
          <w:rFonts w:ascii="Calibri" w:hAnsi="Calibri" w:cs="Calibri"/>
        </w:rPr>
        <w:t xml:space="preserve"> bereits umgesetzt</w:t>
      </w:r>
      <w:r>
        <w:rPr>
          <w:rFonts w:ascii="Calibri" w:hAnsi="Calibri" w:cs="Calibri"/>
        </w:rPr>
        <w:t xml:space="preserve"> werden</w:t>
      </w:r>
      <w:r w:rsidRPr="00A51383">
        <w:rPr>
          <w:rFonts w:ascii="Calibri" w:hAnsi="Calibri" w:cs="Calibri"/>
        </w:rPr>
        <w:t>. Im Rahmen der ZAMAT fokussier</w:t>
      </w:r>
      <w:r>
        <w:rPr>
          <w:rFonts w:ascii="Calibri" w:hAnsi="Calibri" w:cs="Calibri"/>
        </w:rPr>
        <w:t>t</w:t>
      </w:r>
      <w:r w:rsidRPr="00A51383">
        <w:rPr>
          <w:rFonts w:ascii="Calibri" w:hAnsi="Calibri" w:cs="Calibri"/>
        </w:rPr>
        <w:t xml:space="preserve">en die Schulungen beispielsweise vor allem Aspekte polizeilicher Sicherheit. Aspekte, wie der Umgang mit Drucksituationen, der individuelle Aufbau von Resilienz sowie die proaktive Information über existierende Unterstützungsangebote für einzelne Politiker*innen, Parteien, Fraktionen und auch Verwaltungsmitarbeiter*innen kommt aktuell zu kurz. Im Rahmen eines umfangreich präventiv ausgerichteten Umgangs mit Anfeindungen könnte zudem die </w:t>
      </w:r>
      <w:r w:rsidRPr="00A51383">
        <w:rPr>
          <w:rFonts w:ascii="Calibri" w:hAnsi="Calibri" w:cs="Calibri"/>
        </w:rPr>
        <w:lastRenderedPageBreak/>
        <w:t xml:space="preserve">Hemmschwelle für betroffene Amts- und Mandatsträger*innen </w:t>
      </w:r>
      <w:r>
        <w:rPr>
          <w:rFonts w:ascii="Calibri" w:hAnsi="Calibri" w:cs="Calibri"/>
        </w:rPr>
        <w:t>gesenkt werden</w:t>
      </w:r>
      <w:r w:rsidRPr="00A51383">
        <w:rPr>
          <w:rFonts w:ascii="Calibri" w:hAnsi="Calibri" w:cs="Calibri"/>
        </w:rPr>
        <w:t>, Hilfsangebote in Anspruch zu nehmen.</w:t>
      </w:r>
    </w:p>
    <w:p w14:paraId="0CFDAAC1" w14:textId="77777777" w:rsidR="00C05D52" w:rsidRPr="00A51383" w:rsidRDefault="00C05D52" w:rsidP="00C05D52">
      <w:pPr>
        <w:numPr>
          <w:ilvl w:val="0"/>
          <w:numId w:val="28"/>
        </w:numPr>
        <w:spacing w:after="200" w:line="276" w:lineRule="auto"/>
        <w:jc w:val="both"/>
        <w:rPr>
          <w:rFonts w:ascii="Calibri" w:hAnsi="Calibri" w:cs="Calibri"/>
        </w:rPr>
      </w:pPr>
      <w:r w:rsidRPr="00A51383">
        <w:rPr>
          <w:rFonts w:ascii="Calibri" w:hAnsi="Calibri" w:cs="Calibri"/>
        </w:rPr>
        <w:t xml:space="preserve">Die Forschung zu Übergriffen auf und Bedrohungen von Amts- und Mandatsträger*innen steckt noch in den Kinderschuhen. In den </w:t>
      </w:r>
      <w:r>
        <w:rPr>
          <w:rFonts w:ascii="Calibri" w:hAnsi="Calibri" w:cs="Calibri"/>
        </w:rPr>
        <w:t>vergangenen</w:t>
      </w:r>
      <w:r w:rsidRPr="00A51383">
        <w:rPr>
          <w:rFonts w:ascii="Calibri" w:hAnsi="Calibri" w:cs="Calibri"/>
        </w:rPr>
        <w:t xml:space="preserve"> Jahren wurden zahlreiche Erhebungen zum Phänomenbereich durchgeführt, für den Bereich der Beratung existieren bislang jedoch kaum Erkenntnisse. Nach Kenntnis</w:t>
      </w:r>
      <w:r>
        <w:rPr>
          <w:rFonts w:ascii="Calibri" w:hAnsi="Calibri" w:cs="Calibri"/>
        </w:rPr>
        <w:t xml:space="preserve"> der Autoren</w:t>
      </w:r>
      <w:r w:rsidRPr="00A51383">
        <w:rPr>
          <w:rFonts w:ascii="Calibri" w:hAnsi="Calibri" w:cs="Calibri"/>
        </w:rPr>
        <w:t xml:space="preserve"> </w:t>
      </w:r>
      <w:r>
        <w:rPr>
          <w:rFonts w:ascii="Calibri" w:hAnsi="Calibri" w:cs="Calibri"/>
        </w:rPr>
        <w:t>haben sie</w:t>
      </w:r>
      <w:r w:rsidRPr="00A51383">
        <w:rPr>
          <w:rFonts w:ascii="Calibri" w:hAnsi="Calibri" w:cs="Calibri"/>
        </w:rPr>
        <w:t xml:space="preserve"> die bislang einzige Evaluation eines Beratungsangebot</w:t>
      </w:r>
      <w:r>
        <w:rPr>
          <w:rFonts w:ascii="Calibri" w:hAnsi="Calibri" w:cs="Calibri"/>
        </w:rPr>
        <w:t>s</w:t>
      </w:r>
      <w:r w:rsidRPr="00A51383">
        <w:rPr>
          <w:rFonts w:ascii="Calibri" w:hAnsi="Calibri" w:cs="Calibri"/>
        </w:rPr>
        <w:t xml:space="preserve"> für Amts- und Mandatsträger*innen vor</w:t>
      </w:r>
      <w:r>
        <w:rPr>
          <w:rFonts w:ascii="Calibri" w:hAnsi="Calibri" w:cs="Calibri"/>
        </w:rPr>
        <w:t>gelegt</w:t>
      </w:r>
      <w:r w:rsidRPr="00A51383">
        <w:rPr>
          <w:rFonts w:ascii="Calibri" w:hAnsi="Calibri" w:cs="Calibri"/>
        </w:rPr>
        <w:t>.</w:t>
      </w:r>
      <w:r w:rsidRPr="00A51383">
        <w:rPr>
          <w:rStyle w:val="Funotenzeichen"/>
          <w:rFonts w:ascii="Calibri" w:hAnsi="Calibri" w:cs="Calibri"/>
        </w:rPr>
        <w:footnoteReference w:id="57"/>
      </w:r>
      <w:r w:rsidRPr="00A51383">
        <w:rPr>
          <w:rFonts w:ascii="Calibri" w:hAnsi="Calibri" w:cs="Calibri"/>
        </w:rPr>
        <w:t xml:space="preserve"> Es fehlt deshalb u.</w:t>
      </w:r>
      <w:r>
        <w:rPr>
          <w:rFonts w:ascii="Calibri" w:hAnsi="Calibri" w:cs="Calibri"/>
        </w:rPr>
        <w:t xml:space="preserve"> </w:t>
      </w:r>
      <w:r w:rsidRPr="00A51383">
        <w:rPr>
          <w:rFonts w:ascii="Calibri" w:hAnsi="Calibri" w:cs="Calibri"/>
        </w:rPr>
        <w:t>a. an Erkenntnissen zur Nutzung (und auch Nicht-Nutzung) von Hilfsangeboten und zu Drop-Out Quoten. Wichtig ist zudem eine umfassende Analyse der Stigmatisierungseffekte und Hemmschwellen der Inanspruchnahme einer Beratung. Auf dieser Grundlage könnte dann Forschung zur Wirksamkeit der Hilfsangebote konkrete Hinweise zur Weiterentwicklung des Handlungsfeldes liefern, auch auf professionstheoretischer Ebene. Schlussendlich scheint im Rahmen der Versorgungsforschung ein Blick über die nationalen Grenzen hinaus sinnvoll, um Ansätze zu identifizieren, die auch für Deutschland adaptiert werden können (z.</w:t>
      </w:r>
      <w:r>
        <w:rPr>
          <w:rFonts w:ascii="Calibri" w:hAnsi="Calibri" w:cs="Calibri"/>
        </w:rPr>
        <w:t xml:space="preserve"> </w:t>
      </w:r>
      <w:r w:rsidRPr="00A51383">
        <w:rPr>
          <w:rFonts w:ascii="Calibri" w:hAnsi="Calibri" w:cs="Calibri"/>
        </w:rPr>
        <w:t xml:space="preserve">B. die kanadischen </w:t>
      </w:r>
      <w:r w:rsidRPr="009437A1">
        <w:rPr>
          <w:rFonts w:ascii="Calibri" w:hAnsi="Calibri" w:cs="Calibri"/>
          <w:i/>
          <w:iCs/>
        </w:rPr>
        <w:t>Clinical Social Worker</w:t>
      </w:r>
      <w:r w:rsidRPr="00A51383">
        <w:rPr>
          <w:rFonts w:ascii="Calibri" w:hAnsi="Calibri" w:cs="Calibri"/>
        </w:rPr>
        <w:t xml:space="preserve">). </w:t>
      </w:r>
      <w:r w:rsidRPr="000850E0">
        <w:rPr>
          <w:rFonts w:ascii="Calibri" w:hAnsi="Calibri" w:cs="Calibri"/>
        </w:rPr>
        <w:t xml:space="preserve">Für die Einschätzung der langfristigen Entwicklung des Phänomenbereichs ist ein regelmäßiges Monitoring notwendig. So lassen sich aktuelle Trends, etwa die Fokussierung extremistischer (Online)-Kampagnen auf bestimmte </w:t>
      </w:r>
      <w:r>
        <w:rPr>
          <w:rFonts w:ascii="Calibri" w:hAnsi="Calibri" w:cs="Calibri"/>
        </w:rPr>
        <w:t>„</w:t>
      </w:r>
      <w:r w:rsidRPr="000850E0">
        <w:rPr>
          <w:rFonts w:ascii="Calibri" w:hAnsi="Calibri" w:cs="Calibri"/>
        </w:rPr>
        <w:t>Trigger</w:t>
      </w:r>
      <w:r>
        <w:rPr>
          <w:rFonts w:ascii="Calibri" w:hAnsi="Calibri" w:cs="Calibri"/>
        </w:rPr>
        <w:t>punkte“ (Mau et al. 2023)</w:t>
      </w:r>
      <w:r w:rsidRPr="000850E0">
        <w:rPr>
          <w:rFonts w:ascii="Calibri" w:hAnsi="Calibri" w:cs="Calibri"/>
        </w:rPr>
        <w:t>, lokale Zusammenhänge oder spezifische</w:t>
      </w:r>
      <w:r>
        <w:rPr>
          <w:rFonts w:ascii="Calibri" w:hAnsi="Calibri" w:cs="Calibri"/>
        </w:rPr>
        <w:t xml:space="preserve"> Personen, Parteien und/oder</w:t>
      </w:r>
      <w:r w:rsidRPr="000850E0">
        <w:rPr>
          <w:rFonts w:ascii="Calibri" w:hAnsi="Calibri" w:cs="Calibri"/>
        </w:rPr>
        <w:t xml:space="preserve"> Politikfelder, frühzeitig erkennen und passende Maßnahmen für den Umgang damit entwickeln.</w:t>
      </w:r>
    </w:p>
    <w:p w14:paraId="7A8C5333" w14:textId="77777777" w:rsidR="00C05D52" w:rsidRPr="00A51383" w:rsidRDefault="00C05D52" w:rsidP="00C05D52">
      <w:pPr>
        <w:numPr>
          <w:ilvl w:val="0"/>
          <w:numId w:val="28"/>
        </w:numPr>
        <w:spacing w:after="200" w:line="276" w:lineRule="auto"/>
        <w:jc w:val="both"/>
        <w:rPr>
          <w:rFonts w:ascii="Calibri" w:hAnsi="Calibri" w:cs="Calibri"/>
        </w:rPr>
      </w:pPr>
      <w:r w:rsidRPr="00A51383">
        <w:rPr>
          <w:rFonts w:ascii="Calibri" w:hAnsi="Calibri" w:cs="Calibri"/>
        </w:rPr>
        <w:t xml:space="preserve">Eine </w:t>
      </w:r>
      <w:r>
        <w:rPr>
          <w:rFonts w:ascii="Calibri" w:hAnsi="Calibri" w:cs="Calibri"/>
        </w:rPr>
        <w:t>interessante</w:t>
      </w:r>
      <w:r w:rsidRPr="00A51383">
        <w:rPr>
          <w:rFonts w:ascii="Calibri" w:hAnsi="Calibri" w:cs="Calibri"/>
        </w:rPr>
        <w:t xml:space="preserve"> Konstellation ergibt sich aus der Diskrepanz zwischen </w:t>
      </w:r>
      <w:r>
        <w:rPr>
          <w:rFonts w:ascii="Calibri" w:hAnsi="Calibri" w:cs="Calibri"/>
        </w:rPr>
        <w:t>Betroffenheit</w:t>
      </w:r>
      <w:r w:rsidRPr="00A51383">
        <w:rPr>
          <w:rFonts w:ascii="Calibri" w:hAnsi="Calibri" w:cs="Calibri"/>
        </w:rPr>
        <w:t xml:space="preserve"> und tatsächlicher Nutzung psychosozialer Angebote: Während insbesondere Amts- und Mandatsträger*innen der </w:t>
      </w:r>
      <w:r>
        <w:rPr>
          <w:rFonts w:ascii="Calibri" w:hAnsi="Calibri" w:cs="Calibri"/>
        </w:rPr>
        <w:t>Partei „Alternative für Deutschland“ (</w:t>
      </w:r>
      <w:r w:rsidRPr="00A51383">
        <w:rPr>
          <w:rFonts w:ascii="Calibri" w:hAnsi="Calibri" w:cs="Calibri"/>
        </w:rPr>
        <w:t>AfD</w:t>
      </w:r>
      <w:r>
        <w:rPr>
          <w:rFonts w:ascii="Calibri" w:hAnsi="Calibri" w:cs="Calibri"/>
        </w:rPr>
        <w:t>) sowohl in ihren Selbstbeschreibungen als auch</w:t>
      </w:r>
      <w:r w:rsidRPr="00A51383">
        <w:rPr>
          <w:rFonts w:ascii="Calibri" w:hAnsi="Calibri" w:cs="Calibri"/>
        </w:rPr>
        <w:t xml:space="preserve"> </w:t>
      </w:r>
      <w:r>
        <w:rPr>
          <w:rFonts w:ascii="Calibri" w:hAnsi="Calibri" w:cs="Calibri"/>
        </w:rPr>
        <w:t>im Rahmen der Kriminalstatistik</w:t>
      </w:r>
      <w:r>
        <w:rPr>
          <w:rStyle w:val="Funotenzeichen"/>
          <w:rFonts w:ascii="Calibri" w:hAnsi="Calibri" w:cs="Calibri"/>
        </w:rPr>
        <w:footnoteReference w:id="58"/>
      </w:r>
      <w:r>
        <w:rPr>
          <w:rFonts w:ascii="Calibri" w:hAnsi="Calibri" w:cs="Calibri"/>
        </w:rPr>
        <w:t xml:space="preserve"> </w:t>
      </w:r>
      <w:r w:rsidRPr="00A51383">
        <w:rPr>
          <w:rFonts w:ascii="Calibri" w:hAnsi="Calibri" w:cs="Calibri"/>
        </w:rPr>
        <w:t xml:space="preserve">häufig als überdurchschnittlich angegriffen </w:t>
      </w:r>
      <w:r>
        <w:rPr>
          <w:rFonts w:ascii="Calibri" w:hAnsi="Calibri" w:cs="Calibri"/>
        </w:rPr>
        <w:t>gelten (insbesondere im Rahmen von Gewaltdelikten)</w:t>
      </w:r>
      <w:r w:rsidRPr="00A51383">
        <w:rPr>
          <w:rFonts w:ascii="Calibri" w:hAnsi="Calibri" w:cs="Calibri"/>
        </w:rPr>
        <w:t>, finden sich in den vorliegenden Studien und Nutzungsdaten der Beratungsstellen bislang keine Inanspruchnahmen durch diese Gruppe. Mögliche Erklärungen reichen von mangelndem Vertrauen in (staatlich) angebundene Angebote, Befürchtungen hinsichtlich Vertraulichkeit und politischer Zuschreibungen, parteikulturellen Normen des „Durchhaltens“ oder „Widerstandes“ sowie Stigma</w:t>
      </w:r>
      <w:r>
        <w:rPr>
          <w:rFonts w:ascii="Calibri" w:hAnsi="Calibri" w:cs="Calibri"/>
        </w:rPr>
        <w:t>tisierungs</w:t>
      </w:r>
      <w:r w:rsidRPr="00A51383">
        <w:rPr>
          <w:rFonts w:ascii="Calibri" w:hAnsi="Calibri" w:cs="Calibri"/>
        </w:rPr>
        <w:t xml:space="preserve">effekten bis hin zu Informations- und Zugangsbarrieren oder einer problemdefinitorischen Verschiebung (Sicherheits- statt psychosoziale Zuständigkeit). </w:t>
      </w:r>
      <w:r>
        <w:rPr>
          <w:rFonts w:ascii="Calibri" w:hAnsi="Calibri" w:cs="Calibri"/>
        </w:rPr>
        <w:t xml:space="preserve">Mit Blick auf das politische Handeln der AfD und die ihm zugrundliegende Strategie scheint ebenso eine Interpretation der subjektiven Betroffenheitswahrnehmung als Inszenierung eines „Opfermythos“ mit dem Ziel, legitime Kritik als Anfeindungen zu diffamieren, schlüssig. </w:t>
      </w:r>
      <w:r w:rsidRPr="00A51383">
        <w:rPr>
          <w:rFonts w:ascii="Calibri" w:hAnsi="Calibri" w:cs="Calibri"/>
        </w:rPr>
        <w:t>Die</w:t>
      </w:r>
      <w:r>
        <w:rPr>
          <w:rFonts w:ascii="Calibri" w:hAnsi="Calibri" w:cs="Calibri"/>
        </w:rPr>
        <w:t xml:space="preserve"> oben beschriebene</w:t>
      </w:r>
      <w:r w:rsidRPr="00A51383">
        <w:rPr>
          <w:rFonts w:ascii="Calibri" w:hAnsi="Calibri" w:cs="Calibri"/>
        </w:rPr>
        <w:t xml:space="preserve"> Kluft erzeugt</w:t>
      </w:r>
      <w:r>
        <w:rPr>
          <w:rFonts w:ascii="Calibri" w:hAnsi="Calibri" w:cs="Calibri"/>
        </w:rPr>
        <w:t xml:space="preserve"> im Zusammenspiel mit den bekannten Kommunikationsstrategien der AfD</w:t>
      </w:r>
      <w:r w:rsidRPr="00A51383">
        <w:rPr>
          <w:rFonts w:ascii="Calibri" w:hAnsi="Calibri" w:cs="Calibri"/>
        </w:rPr>
        <w:t xml:space="preserve"> </w:t>
      </w:r>
      <w:r>
        <w:rPr>
          <w:rFonts w:ascii="Calibri" w:hAnsi="Calibri" w:cs="Calibri"/>
        </w:rPr>
        <w:t xml:space="preserve">in jedem Fall </w:t>
      </w:r>
      <w:r w:rsidRPr="00A51383">
        <w:rPr>
          <w:rFonts w:ascii="Calibri" w:hAnsi="Calibri" w:cs="Calibri"/>
        </w:rPr>
        <w:t>Selektions- und Verzerrungseffekte in der Evidenzlage</w:t>
      </w:r>
      <w:r>
        <w:rPr>
          <w:rFonts w:ascii="Calibri" w:hAnsi="Calibri" w:cs="Calibri"/>
        </w:rPr>
        <w:t xml:space="preserve">. Gleichzeitig stellt sie die </w:t>
      </w:r>
      <w:r w:rsidRPr="00A51383">
        <w:rPr>
          <w:rFonts w:ascii="Calibri" w:hAnsi="Calibri" w:cs="Calibri"/>
        </w:rPr>
        <w:t>Beratungsperspektive</w:t>
      </w:r>
      <w:r>
        <w:rPr>
          <w:rFonts w:ascii="Calibri" w:hAnsi="Calibri" w:cs="Calibri"/>
        </w:rPr>
        <w:t xml:space="preserve"> vor ein Dilemma: Entweder wird </w:t>
      </w:r>
      <w:r w:rsidRPr="00A51383">
        <w:rPr>
          <w:rFonts w:ascii="Calibri" w:hAnsi="Calibri" w:cs="Calibri"/>
        </w:rPr>
        <w:t xml:space="preserve">eine potenziell belastete Teilgruppe unzureichend </w:t>
      </w:r>
      <w:r>
        <w:rPr>
          <w:rFonts w:ascii="Calibri" w:hAnsi="Calibri" w:cs="Calibri"/>
        </w:rPr>
        <w:t>adressiert oder aber einer möglichen politischen Instrumentalisierung der Betroffenenperspektive Vorschub geleistet</w:t>
      </w:r>
      <w:r w:rsidRPr="00A51383">
        <w:rPr>
          <w:rFonts w:ascii="Calibri" w:hAnsi="Calibri" w:cs="Calibri"/>
        </w:rPr>
        <w:t xml:space="preserve">. Daraus ergibt sich konkreter Forschungsbedarf: (1) eine differenzierte Analyse von Bedrohungswahrnehmung, Coping- und Hilfesuchverhalten nach Parteizugehörigkeit; (2) Barrieren- und Vertrauensforschung zu Datenschutz, Trägerneutralität, Zugangswegen und </w:t>
      </w:r>
      <w:r w:rsidRPr="00A51383">
        <w:rPr>
          <w:rFonts w:ascii="Calibri" w:hAnsi="Calibri" w:cs="Calibri"/>
        </w:rPr>
        <w:lastRenderedPageBreak/>
        <w:t xml:space="preserve">wahrgenommenen Rollenkonflikten; sowie (3) Evaluationsstudien zu alternativen, zielgruppenspezifischen Kommunikationsstrategien. </w:t>
      </w:r>
    </w:p>
    <w:p w14:paraId="7460C85B" w14:textId="77777777" w:rsidR="00C05D52" w:rsidRDefault="00C05D52" w:rsidP="00C05D52">
      <w:pPr>
        <w:numPr>
          <w:ilvl w:val="0"/>
          <w:numId w:val="28"/>
        </w:numPr>
        <w:spacing w:after="200" w:line="276" w:lineRule="auto"/>
        <w:jc w:val="both"/>
        <w:rPr>
          <w:rFonts w:ascii="Calibri" w:hAnsi="Calibri" w:cs="Calibri"/>
        </w:rPr>
      </w:pPr>
      <w:r w:rsidRPr="00A51383">
        <w:rPr>
          <w:rFonts w:ascii="Calibri" w:hAnsi="Calibri" w:cs="Calibri"/>
        </w:rPr>
        <w:t xml:space="preserve">Schließlich muss auch der Schutz und die Professionalität der Beratenden systematisch mitgedacht werden. Dazu gehören tragfähige organisatorische Rahmenbedingungen (realistische Fallobergrenzen und Zeitkontingente, klare Triage- und Eskalationspfade, Schnittstellenvereinbarungen mit Polizei/Justiz/Kommunen) ebenso wie kontinuierliche Fall- und Teamsupervision, Intervision und traumainformierte Fortbildung. Verpflichtend sind Kompetenzen in Bedrohungsmanagement und Deeskalation, in digitaler Selbstsicherheit (Doxing, Hasskampagnen, Medienanfragen), im Datenschutz sowie in Rollen- und Auftragsklärung, um Allparteilichkeit zu wahren und Instrumentalisierungen zu vermeiden. Arbeitgeberseitig braucht es belastbare Fürsorgestrukturen: Gefährdungsbeurteilungen, interne Notfallpläne, psychologische Akut- und Nachsorge (z. B. Critical-Incident-Debriefings), rotierende Zuständigkeiten für Hochbelastungsfälle, regelmäßiges Monitoring sekundärer Traumatisierung und Burnout-Risiken. Multiprofessionelle Teams (Soziale Arbeit, Psychologie/Psychotherapie, ggf. Recht/IT-Sicherheit) und entfristete, </w:t>
      </w:r>
      <w:r>
        <w:rPr>
          <w:rFonts w:ascii="Calibri" w:hAnsi="Calibri" w:cs="Calibri"/>
        </w:rPr>
        <w:t>tarifgebunden</w:t>
      </w:r>
      <w:r w:rsidRPr="00A51383">
        <w:rPr>
          <w:rFonts w:ascii="Calibri" w:hAnsi="Calibri" w:cs="Calibri"/>
        </w:rPr>
        <w:t xml:space="preserve"> finanzierte Stellen sichern Qualität und Kontinuität. Für die Zielgruppe der Amts- und Mandatsträger*innen sind diese Standards kein „Add-on“, sondern Grundvoraussetzung wirksamer Hilfe. Nur wenn wir die Beratenden schützen, bleibt die Beratung selbst dauerhaft tragfähig.</w:t>
      </w:r>
    </w:p>
    <w:p w14:paraId="3FF33C93" w14:textId="77777777" w:rsidR="00C05D52" w:rsidRDefault="00C05D52" w:rsidP="00C05D52">
      <w:pPr>
        <w:rPr>
          <w:rFonts w:ascii="Calibri" w:hAnsi="Calibri" w:cs="Calibri"/>
        </w:rPr>
      </w:pPr>
      <w:r>
        <w:rPr>
          <w:rFonts w:ascii="Calibri" w:hAnsi="Calibri" w:cs="Calibri"/>
        </w:rPr>
        <w:br w:type="page"/>
      </w:r>
    </w:p>
    <w:p w14:paraId="7167B46F" w14:textId="77777777" w:rsidR="00C05D52" w:rsidRPr="00F6265F" w:rsidRDefault="00C05D52" w:rsidP="00F6265F">
      <w:pPr>
        <w:pStyle w:val="berschrift1"/>
        <w:numPr>
          <w:ilvl w:val="0"/>
          <w:numId w:val="0"/>
        </w:numPr>
        <w:spacing w:before="240"/>
        <w:ind w:left="431" w:hanging="431"/>
        <w:rPr>
          <w:rFonts w:asciiTheme="minorHAnsi" w:hAnsiTheme="minorHAnsi" w:cstheme="minorHAnsi"/>
          <w:color w:val="016D72"/>
          <w:sz w:val="32"/>
          <w:szCs w:val="32"/>
        </w:rPr>
      </w:pPr>
      <w:bookmarkStart w:id="105" w:name="_Toc216266108"/>
      <w:r w:rsidRPr="00F6265F">
        <w:rPr>
          <w:rFonts w:asciiTheme="minorHAnsi" w:hAnsiTheme="minorHAnsi" w:cstheme="minorHAnsi"/>
          <w:color w:val="016D72"/>
          <w:sz w:val="32"/>
          <w:szCs w:val="32"/>
        </w:rPr>
        <w:lastRenderedPageBreak/>
        <w:t>Literaturverzeichnis</w:t>
      </w:r>
      <w:bookmarkEnd w:id="105"/>
    </w:p>
    <w:p w14:paraId="3281E8C8" w14:textId="77777777" w:rsidR="00C05D52" w:rsidRPr="00DF2FD7" w:rsidRDefault="00C05D52" w:rsidP="00C05D52">
      <w:pPr>
        <w:spacing w:before="180" w:after="180"/>
        <w:rPr>
          <w:rFonts w:ascii="Calibri" w:hAnsi="Calibri" w:cs="Calibri"/>
          <w:color w:val="000000" w:themeColor="text1"/>
        </w:rPr>
      </w:pPr>
      <w:r w:rsidRPr="00DF2FD7">
        <w:rPr>
          <w:rFonts w:ascii="Calibri" w:hAnsi="Calibri" w:cs="Calibri"/>
          <w:color w:val="000000" w:themeColor="text1"/>
        </w:rPr>
        <w:t>Blätt</w:t>
      </w:r>
      <w:r>
        <w:rPr>
          <w:rFonts w:ascii="Calibri" w:hAnsi="Calibri" w:cs="Calibri"/>
          <w:color w:val="000000" w:themeColor="text1"/>
        </w:rPr>
        <w:t>l</w:t>
      </w:r>
      <w:r w:rsidRPr="00DF2FD7">
        <w:rPr>
          <w:rFonts w:ascii="Calibri" w:hAnsi="Calibri" w:cs="Calibri"/>
          <w:color w:val="000000" w:themeColor="text1"/>
        </w:rPr>
        <w:t xml:space="preserve">e, A., Dinnebier, L. &amp; Schmitz-Vardar, M. (2022). Vielfältige Repräsentation unter Druck: Anfeindungen und Aggressionen in der Kommunalpolitik. In Heinrich-Böll-Stiftung (Band 64).  </w:t>
      </w:r>
      <w:hyperlink r:id="rId39" w:history="1">
        <w:r w:rsidRPr="006D13E2">
          <w:rPr>
            <w:rStyle w:val="Hyperlink"/>
            <w:rFonts w:ascii="Calibri" w:hAnsi="Calibri" w:cs="Calibri"/>
          </w:rPr>
          <w:t>https://boell-hamburg.de/sites/default/files/importedFile 2023/10/16/studie_vielfaeltige-repraesentation-unter-druck_anfeindungen-undaggressionenin-der-kommunalpolitik-.pdf</w:t>
        </w:r>
      </w:hyperlink>
      <w:r>
        <w:rPr>
          <w:rFonts w:ascii="Calibri" w:hAnsi="Calibri" w:cs="Calibri"/>
          <w:color w:val="000000" w:themeColor="text1"/>
        </w:rPr>
        <w:t xml:space="preserve">, zuletzt geprüft am </w:t>
      </w:r>
      <w:r w:rsidRPr="00DF2FD7">
        <w:rPr>
          <w:rFonts w:ascii="Calibri" w:hAnsi="Calibri" w:cs="Calibri"/>
          <w:color w:val="000000" w:themeColor="text1"/>
        </w:rPr>
        <w:t xml:space="preserve">18.12.2024.   </w:t>
      </w:r>
    </w:p>
    <w:p w14:paraId="3CCC0E35" w14:textId="77777777" w:rsidR="00C05D52" w:rsidRPr="00DF2FD7" w:rsidRDefault="00C05D52" w:rsidP="00C05D52">
      <w:pPr>
        <w:spacing w:before="180" w:after="180" w:line="276" w:lineRule="auto"/>
        <w:rPr>
          <w:rFonts w:ascii="Calibri" w:hAnsi="Calibri" w:cs="Calibri"/>
          <w:color w:val="000000" w:themeColor="text1"/>
        </w:rPr>
      </w:pPr>
      <w:r w:rsidRPr="00DF2FD7">
        <w:rPr>
          <w:rFonts w:ascii="Calibri" w:eastAsia="MS Mincho" w:hAnsi="Calibri" w:cs="Calibri"/>
          <w:color w:val="000000" w:themeColor="text1"/>
        </w:rPr>
        <w:t>Bundeskriminalamt (2025). Politisch motivierte Kriminalität – Jahresbericht 2024. Online verfügbar unter:</w:t>
      </w:r>
      <w:r>
        <w:rPr>
          <w:rFonts w:ascii="Calibri" w:eastAsia="MS Mincho" w:hAnsi="Calibri" w:cs="Calibri"/>
          <w:color w:val="000000" w:themeColor="text1"/>
        </w:rPr>
        <w:t xml:space="preserve"> </w:t>
      </w:r>
      <w:hyperlink r:id="rId40" w:history="1">
        <w:r w:rsidRPr="000850E0">
          <w:rPr>
            <w:rStyle w:val="Hyperlink"/>
            <w:rFonts w:ascii="Calibri" w:eastAsia="MS Mincho" w:hAnsi="Calibri" w:cs="Calibri"/>
          </w:rPr>
          <w:t>https://www.bka.de/DE/UnsereAufgaben/Deliktsbereiche/PMK/PMKZahlen2024/PMKZahlen2024_ node.html</w:t>
        </w:r>
      </w:hyperlink>
      <w:r w:rsidRPr="00DF2FD7">
        <w:rPr>
          <w:rFonts w:ascii="Calibri" w:eastAsia="MS Mincho" w:hAnsi="Calibri" w:cs="Calibri"/>
          <w:color w:val="000000" w:themeColor="text1"/>
        </w:rPr>
        <w:t xml:space="preserve">, zuletzt geprüft am 18.08.2025. </w:t>
      </w:r>
    </w:p>
    <w:p w14:paraId="7B49E104" w14:textId="77777777" w:rsidR="00C05D52" w:rsidRPr="00DF2FD7" w:rsidRDefault="00C05D52" w:rsidP="00C05D52">
      <w:pPr>
        <w:spacing w:before="180" w:after="180" w:line="276" w:lineRule="auto"/>
        <w:rPr>
          <w:rFonts w:ascii="Calibri" w:eastAsia="MS Mincho" w:hAnsi="Calibri" w:cs="Calibri"/>
          <w:color w:val="000000" w:themeColor="text1"/>
        </w:rPr>
      </w:pPr>
      <w:r w:rsidRPr="00DF2FD7">
        <w:rPr>
          <w:rFonts w:ascii="Calibri" w:eastAsia="MS Mincho" w:hAnsi="Calibri" w:cs="Calibri"/>
          <w:color w:val="000000" w:themeColor="text1"/>
        </w:rPr>
        <w:t xml:space="preserve">Deutscher Bundestag (2022). Wartezeiten auf einen Psychotherapieplatz. Wissenschaftliche Dienste. </w:t>
      </w:r>
      <w:hyperlink r:id="rId41" w:history="1">
        <w:r w:rsidRPr="00DF2FD7">
          <w:rPr>
            <w:rStyle w:val="Hyperlink"/>
            <w:rFonts w:ascii="Calibri" w:eastAsia="MS Mincho" w:hAnsi="Calibri" w:cs="Calibri"/>
            <w:color w:val="000000" w:themeColor="text1"/>
          </w:rPr>
          <w:t>https://www.bundestag.de/resource/blob/916578/53724d526490deea69f736b1fda83e76/WD-9-059-22-pdf-data.pdf</w:t>
        </w:r>
      </w:hyperlink>
      <w:r w:rsidRPr="00DF2FD7">
        <w:rPr>
          <w:rFonts w:ascii="Calibri" w:eastAsia="MS Mincho" w:hAnsi="Calibri" w:cs="Calibri"/>
          <w:color w:val="000000" w:themeColor="text1"/>
        </w:rPr>
        <w:t>, zuletzt geprüft am 18.08.2025.</w:t>
      </w:r>
    </w:p>
    <w:p w14:paraId="5C4A4785" w14:textId="77777777" w:rsidR="00C05D52" w:rsidRPr="00DF2FD7" w:rsidRDefault="00C05D52" w:rsidP="00C05D52">
      <w:pPr>
        <w:spacing w:before="180" w:after="180"/>
        <w:rPr>
          <w:rFonts w:ascii="Calibri" w:hAnsi="Calibri" w:cs="Calibri"/>
          <w:color w:val="000000" w:themeColor="text1"/>
        </w:rPr>
      </w:pPr>
      <w:r w:rsidRPr="00DF2FD7">
        <w:rPr>
          <w:rFonts w:ascii="Calibri" w:hAnsi="Calibri" w:cs="Calibri"/>
          <w:color w:val="000000" w:themeColor="text1"/>
        </w:rPr>
        <w:t>Eberspach, K., Bitschnau, S. &amp; Kemmesies, U. (2022). Kommunales Monitoring: Hass, Hetze und Gewalt gegenüber Amtsträgerinnen und Amtsträgern (KoMo). motra – Monitoringsystem und Transferplattform Radikalisierung. https://www.staedtetag.de/files/dst/docs/Publikationen/Weitere-Publikationen/2023/Kommunales-Monitoring-Bericht-Herbstbefragung-2022.pdf (18.12.2024)</w:t>
      </w:r>
    </w:p>
    <w:p w14:paraId="28A696E7" w14:textId="77777777" w:rsidR="00C05D52" w:rsidRPr="006C549D" w:rsidRDefault="00C05D52" w:rsidP="00C05D52">
      <w:pPr>
        <w:spacing w:before="180" w:after="180" w:line="276" w:lineRule="auto"/>
        <w:rPr>
          <w:rFonts w:ascii="Calibri" w:eastAsia="MS Mincho" w:hAnsi="Calibri" w:cs="Calibri"/>
          <w:color w:val="000000" w:themeColor="text1"/>
          <w:lang w:val="en-GB"/>
        </w:rPr>
      </w:pPr>
      <w:r w:rsidRPr="00131C14">
        <w:rPr>
          <w:rFonts w:ascii="Calibri" w:eastAsia="MS Mincho" w:hAnsi="Calibri" w:cs="Calibri"/>
          <w:color w:val="000000" w:themeColor="text1"/>
          <w:lang w:val="en-GB"/>
        </w:rPr>
        <w:t xml:space="preserve">Elad-Strenger, J., Hall, B. J., Hobfoll, S., &amp; Canetti, D. (2021). Explaining public support for violence against politicians during conflict: evidence from a panel study in Israel. </w:t>
      </w:r>
      <w:r w:rsidRPr="006C549D">
        <w:rPr>
          <w:rFonts w:ascii="Calibri" w:eastAsia="MS Mincho" w:hAnsi="Calibri" w:cs="Calibri"/>
          <w:i/>
          <w:iCs/>
          <w:color w:val="000000" w:themeColor="text1"/>
          <w:lang w:val="en-GB"/>
        </w:rPr>
        <w:t>Journal of Peace Research</w:t>
      </w:r>
      <w:r w:rsidRPr="006C549D">
        <w:rPr>
          <w:rFonts w:ascii="Calibri" w:eastAsia="MS Mincho" w:hAnsi="Calibri" w:cs="Calibri"/>
          <w:color w:val="000000" w:themeColor="text1"/>
          <w:lang w:val="en-GB"/>
        </w:rPr>
        <w:t xml:space="preserve">. </w:t>
      </w:r>
      <w:r w:rsidRPr="006C549D">
        <w:rPr>
          <w:rFonts w:ascii="Calibri" w:eastAsia="MS Mincho" w:hAnsi="Calibri" w:cs="Calibri"/>
          <w:i/>
          <w:iCs/>
          <w:color w:val="000000" w:themeColor="text1"/>
          <w:lang w:val="en-GB"/>
        </w:rPr>
        <w:t>Journal of Peace Research</w:t>
      </w:r>
      <w:r w:rsidRPr="006C549D">
        <w:rPr>
          <w:rFonts w:ascii="Calibri" w:eastAsia="MS Mincho" w:hAnsi="Calibri" w:cs="Calibri"/>
          <w:color w:val="000000" w:themeColor="text1"/>
          <w:lang w:val="en-GB"/>
        </w:rPr>
        <w:t xml:space="preserve">, 58(3), 417–432. </w:t>
      </w:r>
      <w:hyperlink r:id="rId42" w:tgtFrame="_new" w:history="1">
        <w:r w:rsidRPr="006C549D">
          <w:rPr>
            <w:rStyle w:val="Hyperlink"/>
            <w:rFonts w:ascii="Calibri" w:eastAsia="MS Mincho" w:hAnsi="Calibri" w:cs="Calibri"/>
            <w:color w:val="000000" w:themeColor="text1"/>
            <w:lang w:val="en-GB"/>
          </w:rPr>
          <w:t>https://doi.org/10.1177/0022343320905355</w:t>
        </w:r>
      </w:hyperlink>
      <w:r w:rsidRPr="006C549D">
        <w:rPr>
          <w:lang w:val="en-GB"/>
        </w:rPr>
        <w:t>.</w:t>
      </w:r>
    </w:p>
    <w:p w14:paraId="19F7F0BD" w14:textId="77777777" w:rsidR="00C05D52" w:rsidRPr="00EA211E" w:rsidRDefault="00C05D52" w:rsidP="00C05D52">
      <w:pPr>
        <w:spacing w:before="180" w:after="180" w:line="276" w:lineRule="auto"/>
        <w:rPr>
          <w:rFonts w:ascii="Calibri" w:eastAsia="MS Mincho" w:hAnsi="Calibri" w:cs="Calibri"/>
          <w:color w:val="000000" w:themeColor="text1"/>
          <w:lang w:val="en-US"/>
        </w:rPr>
      </w:pPr>
      <w:r w:rsidRPr="00131C14">
        <w:rPr>
          <w:rFonts w:ascii="Calibri" w:eastAsia="MS Mincho" w:hAnsi="Calibri" w:cs="Calibri"/>
          <w:color w:val="000000" w:themeColor="text1"/>
          <w:lang w:val="en-GB"/>
        </w:rPr>
        <w:t xml:space="preserve">Every-Palmer, S., Barry-Walsh, J., &amp; Pathé, M. (2015). </w:t>
      </w:r>
      <w:r w:rsidRPr="00131C14">
        <w:rPr>
          <w:rFonts w:ascii="Calibri" w:hAnsi="Calibri" w:cs="Calibri"/>
          <w:i/>
          <w:iCs/>
          <w:color w:val="000000" w:themeColor="text1"/>
          <w:lang w:val="en-GB"/>
        </w:rPr>
        <w:t>Harassment, stalking, threats and attacks targeting New Zealand politicians: A mental health issue.</w:t>
      </w:r>
      <w:r w:rsidRPr="00131C14">
        <w:rPr>
          <w:rFonts w:ascii="Calibri" w:hAnsi="Calibri" w:cs="Calibri"/>
          <w:color w:val="000000" w:themeColor="text1"/>
          <w:lang w:val="en-GB"/>
        </w:rPr>
        <w:t xml:space="preserve"> </w:t>
      </w:r>
      <w:r w:rsidRPr="00EA211E">
        <w:rPr>
          <w:rFonts w:ascii="Calibri" w:hAnsi="Calibri" w:cs="Calibri"/>
          <w:i/>
          <w:iCs/>
          <w:color w:val="000000" w:themeColor="text1"/>
          <w:lang w:val="en-US"/>
        </w:rPr>
        <w:t>Australian and New Zealand Journal of Psychiatry</w:t>
      </w:r>
      <w:r w:rsidRPr="00EA211E">
        <w:rPr>
          <w:rFonts w:ascii="Calibri" w:hAnsi="Calibri" w:cs="Calibri"/>
          <w:color w:val="000000" w:themeColor="text1"/>
          <w:lang w:val="en-US"/>
        </w:rPr>
        <w:t xml:space="preserve">, 49(7), 634–641. </w:t>
      </w:r>
      <w:hyperlink r:id="rId43" w:tgtFrame="_new" w:history="1">
        <w:r w:rsidRPr="00EA211E">
          <w:rPr>
            <w:rStyle w:val="Hyperlink"/>
            <w:rFonts w:ascii="Calibri" w:hAnsi="Calibri" w:cs="Calibri"/>
            <w:color w:val="000000" w:themeColor="text1"/>
            <w:lang w:val="en-US"/>
          </w:rPr>
          <w:t>https://doi.org/10.1177/0004867415583700</w:t>
        </w:r>
      </w:hyperlink>
      <w:r w:rsidRPr="00EA211E">
        <w:rPr>
          <w:lang w:val="en-US"/>
        </w:rPr>
        <w:t>.</w:t>
      </w:r>
    </w:p>
    <w:p w14:paraId="57DB4DD0" w14:textId="77777777" w:rsidR="00C05D52" w:rsidRPr="00DF2FD7" w:rsidRDefault="00C05D52" w:rsidP="00C05D52">
      <w:pPr>
        <w:spacing w:before="180" w:after="180"/>
        <w:rPr>
          <w:rFonts w:ascii="Calibri" w:hAnsi="Calibri" w:cs="Calibri"/>
          <w:color w:val="000000" w:themeColor="text1"/>
        </w:rPr>
      </w:pPr>
      <w:r w:rsidRPr="00EA211E">
        <w:rPr>
          <w:rFonts w:ascii="Calibri" w:hAnsi="Calibri" w:cs="Calibri"/>
          <w:color w:val="000000" w:themeColor="text1"/>
          <w:lang w:val="en-US"/>
        </w:rPr>
        <w:t xml:space="preserve">Hochuli Freund, U. &amp; Stotz, W. (2021). </w:t>
      </w:r>
      <w:r w:rsidRPr="00DF2FD7">
        <w:rPr>
          <w:rFonts w:ascii="Calibri" w:hAnsi="Calibri" w:cs="Calibri"/>
          <w:i/>
          <w:iCs/>
          <w:color w:val="000000" w:themeColor="text1"/>
        </w:rPr>
        <w:t xml:space="preserve">Kooperative Prozessgestaltung in der Sozialen Arbeit. Ein methodenintegratives Lehrbuch </w:t>
      </w:r>
      <w:r w:rsidRPr="00DF2FD7">
        <w:rPr>
          <w:rFonts w:ascii="Calibri" w:hAnsi="Calibri" w:cs="Calibri"/>
          <w:color w:val="000000" w:themeColor="text1"/>
        </w:rPr>
        <w:t>(5., überarb. Auflage). Kohlhammer.</w:t>
      </w:r>
    </w:p>
    <w:p w14:paraId="13450586" w14:textId="77777777" w:rsidR="00C05D52" w:rsidRDefault="00C05D52" w:rsidP="00C05D52">
      <w:pPr>
        <w:spacing w:before="180" w:after="180"/>
        <w:rPr>
          <w:rFonts w:ascii="Calibri" w:hAnsi="Calibri" w:cs="Calibri"/>
          <w:color w:val="000000" w:themeColor="text1"/>
        </w:rPr>
      </w:pPr>
      <w:r w:rsidRPr="00DF2FD7">
        <w:rPr>
          <w:rFonts w:ascii="Calibri" w:hAnsi="Calibri" w:cs="Calibri"/>
          <w:color w:val="000000" w:themeColor="text1"/>
        </w:rPr>
        <w:t xml:space="preserve">Imbusch, P. (2016). Macht und Herrschaft. In H. Korte &amp; B. Schäfers (Hrsg.). </w:t>
      </w:r>
      <w:r w:rsidRPr="00DF2FD7">
        <w:rPr>
          <w:rFonts w:ascii="Calibri" w:hAnsi="Calibri" w:cs="Calibri"/>
          <w:i/>
          <w:iCs/>
          <w:color w:val="000000" w:themeColor="text1"/>
        </w:rPr>
        <w:t>Einführung in Hauptbegriffe der Soziologie</w:t>
      </w:r>
      <w:r w:rsidRPr="00DF2FD7">
        <w:rPr>
          <w:rFonts w:ascii="Calibri" w:hAnsi="Calibri" w:cs="Calibri"/>
          <w:color w:val="000000" w:themeColor="text1"/>
        </w:rPr>
        <w:t>. (9., überarb. Auflage, S. 195-220). Springer VS.</w:t>
      </w:r>
    </w:p>
    <w:p w14:paraId="59F19ACD" w14:textId="77777777" w:rsidR="00C05D52" w:rsidRPr="006C549D" w:rsidRDefault="00C05D52" w:rsidP="00C05D52">
      <w:pPr>
        <w:spacing w:before="180" w:after="180"/>
        <w:rPr>
          <w:rFonts w:ascii="Calibri" w:hAnsi="Calibri" w:cs="Calibri"/>
          <w:color w:val="000000" w:themeColor="text1"/>
          <w:lang w:val="en-GB"/>
        </w:rPr>
      </w:pPr>
      <w:r>
        <w:rPr>
          <w:rFonts w:ascii="Calibri" w:hAnsi="Calibri" w:cs="Calibri"/>
          <w:color w:val="000000" w:themeColor="text1"/>
        </w:rPr>
        <w:t xml:space="preserve">Jäger, M. (2025). </w:t>
      </w:r>
      <w:r w:rsidRPr="001C64DF">
        <w:rPr>
          <w:rFonts w:ascii="Calibri" w:hAnsi="Calibri" w:cs="Calibri"/>
          <w:color w:val="000000" w:themeColor="text1"/>
        </w:rPr>
        <w:t>Das Soziale in der Psychiatrie</w:t>
      </w:r>
      <w:r>
        <w:rPr>
          <w:rFonts w:ascii="Calibri" w:hAnsi="Calibri" w:cs="Calibri"/>
          <w:color w:val="000000" w:themeColor="text1"/>
        </w:rPr>
        <w:t xml:space="preserve">. </w:t>
      </w:r>
      <w:r w:rsidRPr="006C549D">
        <w:rPr>
          <w:rFonts w:ascii="Calibri" w:hAnsi="Calibri" w:cs="Calibri"/>
          <w:color w:val="000000" w:themeColor="text1"/>
          <w:lang w:val="en-GB"/>
        </w:rPr>
        <w:t>In: Psychiat Prax, 52, 245–247. DOI 10.1055/a-2565-6993.</w:t>
      </w:r>
    </w:p>
    <w:p w14:paraId="24CCA25C" w14:textId="77777777" w:rsidR="00C05D52" w:rsidRPr="00DF2FD7" w:rsidRDefault="00C05D52" w:rsidP="00C05D52">
      <w:pPr>
        <w:spacing w:before="180" w:after="180" w:line="276" w:lineRule="auto"/>
        <w:rPr>
          <w:rFonts w:ascii="Calibri" w:eastAsia="MS Mincho" w:hAnsi="Calibri" w:cs="Calibri"/>
          <w:color w:val="000000" w:themeColor="text1"/>
        </w:rPr>
      </w:pPr>
      <w:r w:rsidRPr="00131C14">
        <w:rPr>
          <w:rFonts w:ascii="Calibri" w:eastAsia="MS Mincho" w:hAnsi="Calibri" w:cs="Calibri"/>
          <w:color w:val="000000" w:themeColor="text1"/>
          <w:lang w:val="en-GB"/>
        </w:rPr>
        <w:t xml:space="preserve">Jodelet, D. (2020). Uses and misuses of threats in the public sphere. In D. Jodelet, J. Vala, &amp; E. Drozda-Senkowska (Hg.), Societies under threat: A pluri-disciplinary approach (S. 13-26). </w:t>
      </w:r>
      <w:r w:rsidRPr="00DF2FD7">
        <w:rPr>
          <w:rFonts w:ascii="Calibri" w:eastAsia="MS Mincho" w:hAnsi="Calibri" w:cs="Calibri"/>
          <w:color w:val="000000" w:themeColor="text1"/>
        </w:rPr>
        <w:t>Springer</w:t>
      </w:r>
      <w:r>
        <w:rPr>
          <w:rFonts w:ascii="Calibri" w:eastAsia="MS Mincho" w:hAnsi="Calibri" w:cs="Calibri"/>
          <w:color w:val="000000" w:themeColor="text1"/>
        </w:rPr>
        <w:t xml:space="preserve"> VS.</w:t>
      </w:r>
    </w:p>
    <w:p w14:paraId="597D6EE0" w14:textId="77777777" w:rsidR="00C05D52" w:rsidRPr="00DF2FD7" w:rsidRDefault="00C05D52" w:rsidP="00C05D52">
      <w:pPr>
        <w:spacing w:before="180" w:after="180"/>
        <w:rPr>
          <w:rFonts w:ascii="Calibri" w:hAnsi="Calibri" w:cs="Calibri"/>
          <w:color w:val="000000" w:themeColor="text1"/>
        </w:rPr>
      </w:pPr>
      <w:r w:rsidRPr="00DF2FD7">
        <w:rPr>
          <w:rFonts w:ascii="Calibri" w:hAnsi="Calibri" w:cs="Calibri"/>
          <w:color w:val="000000" w:themeColor="text1"/>
        </w:rPr>
        <w:t xml:space="preserve">Karliczek, K.-M., Ohlenforst, V., Dorte, S., Walkenhorst, D. &amp; Kanitz, J. (2023). </w:t>
      </w:r>
      <w:r w:rsidRPr="00DF2FD7">
        <w:rPr>
          <w:rFonts w:ascii="Calibri" w:hAnsi="Calibri" w:cs="Calibri"/>
          <w:i/>
          <w:iCs/>
          <w:color w:val="000000" w:themeColor="text1"/>
        </w:rPr>
        <w:t xml:space="preserve">Evaluation bundesfinanzierter Beratungsstellen: Abschlussbericht der Evaluation der Beratungsstellen zur Distanzierung und Deradikalisierung vom islamistischen Extremismus. </w:t>
      </w:r>
      <w:r w:rsidRPr="00DF2FD7">
        <w:rPr>
          <w:rFonts w:ascii="Calibri" w:hAnsi="Calibri" w:cs="Calibri"/>
          <w:color w:val="000000" w:themeColor="text1"/>
        </w:rPr>
        <w:t xml:space="preserve">Bundesamt für Migration und Flüchtlinge (BAMF). </w:t>
      </w:r>
    </w:p>
    <w:p w14:paraId="3C135DD8" w14:textId="77777777" w:rsidR="00C05D52" w:rsidRDefault="00C05D52" w:rsidP="00C05D52">
      <w:pPr>
        <w:spacing w:before="180" w:after="180"/>
        <w:rPr>
          <w:rFonts w:ascii="Calibri" w:hAnsi="Calibri" w:cs="Calibri"/>
          <w:color w:val="000000" w:themeColor="text1"/>
        </w:rPr>
      </w:pPr>
      <w:r w:rsidRPr="00DF2FD7">
        <w:rPr>
          <w:rFonts w:ascii="Calibri" w:hAnsi="Calibri" w:cs="Calibri"/>
          <w:color w:val="000000" w:themeColor="text1"/>
        </w:rPr>
        <w:t xml:space="preserve">Krieger, W. (2021). Strukturen der Macht: Konstruktivistische Perspektiven zur Mikrophysiologie der personalisierten Interaktionsmacht in der Sozialen Arbeit. In B. Kraus &amp; W. Krieger (Hrsg.). </w:t>
      </w:r>
      <w:r w:rsidRPr="00DF2FD7">
        <w:rPr>
          <w:rFonts w:ascii="Calibri" w:hAnsi="Calibri" w:cs="Calibri"/>
          <w:i/>
          <w:iCs/>
          <w:color w:val="000000" w:themeColor="text1"/>
        </w:rPr>
        <w:t xml:space="preserve">Macht in der Sozialen Arbeit: Interaktionsverhältnisse zwischen Kontrolle, Partizipation und Freisetzung </w:t>
      </w:r>
      <w:r w:rsidRPr="00DF2FD7">
        <w:rPr>
          <w:rFonts w:ascii="Calibri" w:hAnsi="Calibri" w:cs="Calibri"/>
          <w:color w:val="000000" w:themeColor="text1"/>
        </w:rPr>
        <w:t xml:space="preserve">(5., überarb. </w:t>
      </w:r>
      <w:r w:rsidRPr="00E31F69">
        <w:rPr>
          <w:rFonts w:ascii="Calibri" w:hAnsi="Calibri" w:cs="Calibri"/>
          <w:color w:val="000000" w:themeColor="text1"/>
        </w:rPr>
        <w:t xml:space="preserve">und erw. </w:t>
      </w:r>
      <w:r w:rsidRPr="00CC6833">
        <w:rPr>
          <w:rFonts w:ascii="Calibri" w:hAnsi="Calibri" w:cs="Calibri"/>
          <w:color w:val="000000" w:themeColor="text1"/>
        </w:rPr>
        <w:t>Auflage, S. 41-90). Jacobs.</w:t>
      </w:r>
    </w:p>
    <w:p w14:paraId="4E03F279" w14:textId="77777777" w:rsidR="00C05D52" w:rsidRPr="00CC6833" w:rsidRDefault="00C05D52" w:rsidP="00C05D52">
      <w:pPr>
        <w:spacing w:before="180" w:after="180"/>
        <w:rPr>
          <w:rFonts w:ascii="Calibri" w:hAnsi="Calibri" w:cs="Calibri"/>
          <w:color w:val="000000" w:themeColor="text1"/>
        </w:rPr>
      </w:pPr>
      <w:r w:rsidRPr="000850E0">
        <w:rPr>
          <w:rFonts w:ascii="Calibri" w:hAnsi="Calibri" w:cs="Calibri"/>
          <w:color w:val="000000" w:themeColor="text1"/>
        </w:rPr>
        <w:lastRenderedPageBreak/>
        <w:t xml:space="preserve">Mau, S., Lux, T., &amp; Westheuser, L. (2023). </w:t>
      </w:r>
      <w:r w:rsidRPr="000850E0">
        <w:rPr>
          <w:rFonts w:ascii="Calibri" w:hAnsi="Calibri" w:cs="Calibri"/>
          <w:i/>
          <w:iCs/>
          <w:color w:val="000000" w:themeColor="text1"/>
        </w:rPr>
        <w:t xml:space="preserve">Triggerpunkte. Konsens und Konflikt in der Gegenwartsgesellschaft. </w:t>
      </w:r>
      <w:r w:rsidRPr="003173C8">
        <w:rPr>
          <w:rFonts w:ascii="Calibri" w:hAnsi="Calibri" w:cs="Calibri"/>
          <w:color w:val="000000" w:themeColor="text1"/>
        </w:rPr>
        <w:t>Berlin: Suhrkamp.</w:t>
      </w:r>
    </w:p>
    <w:p w14:paraId="0879DEFB" w14:textId="77777777" w:rsidR="00C05D52" w:rsidRPr="00E31F69" w:rsidRDefault="00C05D52" w:rsidP="00C05D52">
      <w:pPr>
        <w:spacing w:before="180" w:after="180"/>
        <w:rPr>
          <w:rFonts w:ascii="Calibri" w:hAnsi="Calibri" w:cs="Calibri"/>
          <w:color w:val="000000" w:themeColor="text1"/>
        </w:rPr>
      </w:pPr>
      <w:r w:rsidRPr="00E31F69">
        <w:rPr>
          <w:rFonts w:ascii="Calibri" w:hAnsi="Calibri" w:cs="Calibri"/>
          <w:color w:val="000000" w:themeColor="text1"/>
        </w:rPr>
        <w:t>MDR (202</w:t>
      </w:r>
      <w:r>
        <w:rPr>
          <w:rFonts w:ascii="Calibri" w:hAnsi="Calibri" w:cs="Calibri"/>
          <w:color w:val="000000" w:themeColor="text1"/>
        </w:rPr>
        <w:t>4</w:t>
      </w:r>
      <w:r w:rsidRPr="00E31F69">
        <w:rPr>
          <w:rFonts w:ascii="Calibri" w:hAnsi="Calibri" w:cs="Calibri"/>
          <w:color w:val="000000" w:themeColor="text1"/>
        </w:rPr>
        <w:t xml:space="preserve">). Angriff auf SPD-Politiker in Gera - Beschuldigter meldet sich bei Facebook, online verfügbar unter: </w:t>
      </w:r>
      <w:hyperlink r:id="rId44" w:history="1">
        <w:r w:rsidRPr="00E31F69">
          <w:rPr>
            <w:rStyle w:val="Hyperlink"/>
            <w:rFonts w:ascii="Calibri" w:hAnsi="Calibri" w:cs="Calibri"/>
          </w:rPr>
          <w:t>https://www.mdr.de/nachrichten/thueringen/ost-thueringen/gera/angriff-politiker-spd-kommunalwahl-100.html</w:t>
        </w:r>
      </w:hyperlink>
      <w:r w:rsidRPr="00E31F69">
        <w:rPr>
          <w:rFonts w:ascii="Calibri" w:hAnsi="Calibri" w:cs="Calibri"/>
          <w:color w:val="000000" w:themeColor="text1"/>
        </w:rPr>
        <w:t xml:space="preserve">, zuletzt geprüft am 18.08.2025. </w:t>
      </w:r>
    </w:p>
    <w:p w14:paraId="466C008D" w14:textId="77777777" w:rsidR="00C05D52" w:rsidRPr="00CC6833" w:rsidRDefault="00C05D52" w:rsidP="00C05D52">
      <w:pPr>
        <w:spacing w:before="180" w:after="180" w:line="276" w:lineRule="auto"/>
        <w:rPr>
          <w:rFonts w:ascii="Calibri" w:hAnsi="Calibri" w:cs="Calibri"/>
          <w:color w:val="000000" w:themeColor="text1"/>
        </w:rPr>
      </w:pPr>
      <w:r w:rsidRPr="00131C14">
        <w:rPr>
          <w:rFonts w:ascii="Calibri" w:eastAsia="MS Mincho" w:hAnsi="Calibri" w:cs="Calibri"/>
          <w:color w:val="000000" w:themeColor="text1"/>
          <w:lang w:val="en-GB"/>
        </w:rPr>
        <w:t xml:space="preserve">Meloy, J. R., James, D. V., Farnham, F., et al. </w:t>
      </w:r>
      <w:r w:rsidRPr="00EA211E">
        <w:rPr>
          <w:rFonts w:ascii="Calibri" w:eastAsia="MS Mincho" w:hAnsi="Calibri" w:cs="Calibri"/>
          <w:color w:val="000000" w:themeColor="text1"/>
          <w:lang w:val="en-US"/>
        </w:rPr>
        <w:t xml:space="preserve">(2004). </w:t>
      </w:r>
      <w:r w:rsidRPr="00131C14">
        <w:rPr>
          <w:rFonts w:ascii="Calibri" w:hAnsi="Calibri" w:cs="Calibri"/>
          <w:i/>
          <w:iCs/>
          <w:color w:val="000000" w:themeColor="text1"/>
          <w:lang w:val="en-GB"/>
        </w:rPr>
        <w:t>A research review of public figure threats, approaches, attacks, and assassinations in the United States.</w:t>
      </w:r>
      <w:r w:rsidRPr="00131C14">
        <w:rPr>
          <w:rFonts w:ascii="Calibri" w:hAnsi="Calibri" w:cs="Calibri"/>
          <w:color w:val="000000" w:themeColor="text1"/>
          <w:lang w:val="en-GB"/>
        </w:rPr>
        <w:t xml:space="preserve"> </w:t>
      </w:r>
      <w:r w:rsidRPr="00CC6833">
        <w:rPr>
          <w:rFonts w:ascii="Calibri" w:hAnsi="Calibri" w:cs="Calibri"/>
          <w:i/>
          <w:iCs/>
          <w:color w:val="000000" w:themeColor="text1"/>
        </w:rPr>
        <w:t>Journal of Forensic Sciences</w:t>
      </w:r>
      <w:r w:rsidRPr="00CC6833">
        <w:rPr>
          <w:rFonts w:ascii="Calibri" w:hAnsi="Calibri" w:cs="Calibri"/>
          <w:color w:val="000000" w:themeColor="text1"/>
        </w:rPr>
        <w:t xml:space="preserve">, 49(5), 1086–1093. </w:t>
      </w:r>
      <w:hyperlink r:id="rId45" w:tgtFrame="_new" w:history="1">
        <w:r w:rsidRPr="00CC6833">
          <w:rPr>
            <w:rStyle w:val="Hyperlink"/>
            <w:rFonts w:ascii="Calibri" w:hAnsi="Calibri" w:cs="Calibri"/>
            <w:color w:val="000000" w:themeColor="text1"/>
          </w:rPr>
          <w:t>https://doi.org/10.1520/JFS2004102</w:t>
        </w:r>
      </w:hyperlink>
      <w:r w:rsidRPr="00CC6833">
        <w:rPr>
          <w:rFonts w:ascii="Calibri" w:hAnsi="Calibri" w:cs="Calibri"/>
          <w:color w:val="000000" w:themeColor="text1"/>
        </w:rPr>
        <w:t>.</w:t>
      </w:r>
    </w:p>
    <w:p w14:paraId="385DF1FF" w14:textId="77777777" w:rsidR="00C05D52" w:rsidRPr="00B717C3" w:rsidRDefault="00C05D52" w:rsidP="00C05D52">
      <w:pPr>
        <w:spacing w:before="180" w:after="180" w:line="276" w:lineRule="auto"/>
        <w:rPr>
          <w:rFonts w:ascii="Calibri" w:eastAsia="MS Mincho" w:hAnsi="Calibri" w:cs="Calibri"/>
          <w:color w:val="000000" w:themeColor="text1"/>
        </w:rPr>
      </w:pPr>
      <w:r w:rsidRPr="00B717C3">
        <w:rPr>
          <w:rFonts w:ascii="Calibri" w:hAnsi="Calibri" w:cs="Calibri"/>
          <w:color w:val="000000" w:themeColor="text1"/>
        </w:rPr>
        <w:t xml:space="preserve">Meyer, N.; Häfele, C. (2025): Kein Schutz vor Hass: Gernsbacher Bürgermeister zwischen Anfeindungen, Drohungen und öffentlichen Beschimpfungen, online verfügbar unter </w:t>
      </w:r>
      <w:hyperlink r:id="rId46" w:history="1">
        <w:r w:rsidRPr="00B717C3">
          <w:rPr>
            <w:rStyle w:val="Hyperlink"/>
            <w:rFonts w:ascii="Calibri" w:hAnsi="Calibri" w:cs="Calibri"/>
          </w:rPr>
          <w:t>https://www.swr.de/swraktuell/baden-wuerttemberg/angriffe-hass-buergermeister-100.html</w:t>
        </w:r>
      </w:hyperlink>
      <w:r w:rsidRPr="00B717C3">
        <w:rPr>
          <w:rFonts w:ascii="Calibri" w:hAnsi="Calibri" w:cs="Calibri"/>
          <w:color w:val="000000" w:themeColor="text1"/>
        </w:rPr>
        <w:t xml:space="preserve">, zuletzt geprüft am 18.08.2025. </w:t>
      </w:r>
    </w:p>
    <w:p w14:paraId="07199623" w14:textId="77777777" w:rsidR="00C05D52" w:rsidRPr="003173C8" w:rsidRDefault="00C05D52" w:rsidP="00C05D52">
      <w:pPr>
        <w:spacing w:before="180" w:after="180"/>
        <w:rPr>
          <w:rFonts w:ascii="Calibri" w:hAnsi="Calibri" w:cs="Calibri"/>
          <w:color w:val="000000" w:themeColor="text1"/>
        </w:rPr>
      </w:pPr>
      <w:r w:rsidRPr="00DF2FD7">
        <w:rPr>
          <w:rFonts w:ascii="Calibri" w:hAnsi="Calibri" w:cs="Calibri"/>
          <w:color w:val="000000" w:themeColor="text1"/>
        </w:rPr>
        <w:t xml:space="preserve">Ministerium des Innern und für Kommunales des Landes Brandenburg. (2022). Präventive Strategien zum Schutz von kommunalen Amts- und Mandatspersonen vor Einschüchterung, Hetze und Gewalt. </w:t>
      </w:r>
      <w:r w:rsidRPr="003173C8">
        <w:rPr>
          <w:rFonts w:ascii="Calibri" w:hAnsi="Calibri" w:cs="Calibri"/>
          <w:color w:val="000000" w:themeColor="text1"/>
        </w:rPr>
        <w:t xml:space="preserve">URL: </w:t>
      </w:r>
      <w:hyperlink r:id="rId47" w:history="1">
        <w:r w:rsidRPr="003173C8">
          <w:rPr>
            <w:rStyle w:val="Hyperlink"/>
            <w:rFonts w:ascii="Calibri" w:hAnsi="Calibri" w:cs="Calibri"/>
          </w:rPr>
          <w:t>https://mik.brandenburg.de/sixcms/media.php/9/Kommunalstudie%20BB_finale_Fassung_Auflage1.pdf</w:t>
        </w:r>
      </w:hyperlink>
      <w:r w:rsidRPr="003173C8">
        <w:rPr>
          <w:rFonts w:ascii="Calibri" w:hAnsi="Calibri" w:cs="Calibri"/>
          <w:color w:val="000000" w:themeColor="text1"/>
        </w:rPr>
        <w:t>, zul</w:t>
      </w:r>
      <w:r>
        <w:rPr>
          <w:rFonts w:ascii="Calibri" w:hAnsi="Calibri" w:cs="Calibri"/>
          <w:color w:val="000000" w:themeColor="text1"/>
        </w:rPr>
        <w:t xml:space="preserve">etzt geprüft am </w:t>
      </w:r>
      <w:r w:rsidRPr="003173C8">
        <w:rPr>
          <w:rFonts w:ascii="Calibri" w:hAnsi="Calibri" w:cs="Calibri"/>
          <w:color w:val="000000" w:themeColor="text1"/>
        </w:rPr>
        <w:t xml:space="preserve">18.12.2024.  </w:t>
      </w:r>
    </w:p>
    <w:p w14:paraId="7BA16FAA" w14:textId="77777777" w:rsidR="00C05D52" w:rsidRPr="000850E0" w:rsidRDefault="00C05D52" w:rsidP="00C05D52">
      <w:pPr>
        <w:spacing w:before="180" w:after="180"/>
        <w:rPr>
          <w:rFonts w:ascii="Calibri" w:hAnsi="Calibri" w:cs="Calibri"/>
          <w:color w:val="000000" w:themeColor="text1"/>
        </w:rPr>
      </w:pPr>
      <w:r w:rsidRPr="000850E0">
        <w:rPr>
          <w:rFonts w:ascii="Calibri" w:hAnsi="Calibri" w:cs="Calibri"/>
          <w:color w:val="000000" w:themeColor="text1"/>
        </w:rPr>
        <w:t xml:space="preserve">Ostwaldt, J.; </w:t>
      </w:r>
      <w:r>
        <w:rPr>
          <w:rFonts w:ascii="Calibri" w:hAnsi="Calibri" w:cs="Calibri"/>
          <w:color w:val="000000" w:themeColor="text1"/>
        </w:rPr>
        <w:t>Bergmann, M. (2025). Evaluation des Kompetenzzentrum gegen Extremismus Baden-Württemberg (konex). Unveröffentlichtes Manuskript.</w:t>
      </w:r>
    </w:p>
    <w:p w14:paraId="7B45BA60" w14:textId="77777777" w:rsidR="00C05D52" w:rsidRPr="00DF2FD7" w:rsidRDefault="00C05D52" w:rsidP="00C05D52">
      <w:pPr>
        <w:spacing w:before="180" w:after="180"/>
        <w:rPr>
          <w:rFonts w:ascii="Calibri" w:hAnsi="Calibri" w:cs="Calibri"/>
          <w:color w:val="000000" w:themeColor="text1"/>
        </w:rPr>
      </w:pPr>
      <w:r w:rsidRPr="00DF2FD7">
        <w:rPr>
          <w:rFonts w:ascii="Calibri" w:hAnsi="Calibri" w:cs="Calibri"/>
          <w:color w:val="000000" w:themeColor="text1"/>
        </w:rPr>
        <w:t xml:space="preserve">Ostwaldt, J; Walkenhorst, D. (2025). Evaluation der psychosozialen Beratung der Zentralen Anlaufstelle für Amts- und Mandatsträger (ZAMAT) in Baden-Württemberg. Unveröffentlichtes Manuskript. </w:t>
      </w:r>
    </w:p>
    <w:p w14:paraId="3D0BEB30" w14:textId="77777777" w:rsidR="00C05D52" w:rsidRPr="008C7B1C" w:rsidRDefault="00C05D52" w:rsidP="00C05D52">
      <w:pPr>
        <w:spacing w:before="180" w:after="180" w:line="276" w:lineRule="auto"/>
        <w:rPr>
          <w:rFonts w:ascii="Calibri" w:eastAsia="MS Mincho" w:hAnsi="Calibri" w:cs="Calibri"/>
          <w:color w:val="000000" w:themeColor="text1"/>
        </w:rPr>
      </w:pPr>
      <w:r w:rsidRPr="00DF2FD7">
        <w:rPr>
          <w:rFonts w:ascii="Calibri" w:eastAsia="MS Mincho" w:hAnsi="Calibri" w:cs="Calibri"/>
          <w:color w:val="000000" w:themeColor="text1"/>
        </w:rPr>
        <w:t xml:space="preserve">Pedersen, R. T., Petersen, N. B., &amp; Thau, M. (2024). </w:t>
      </w:r>
      <w:hyperlink r:id="rId48" w:history="1">
        <w:r w:rsidRPr="00131C14">
          <w:rPr>
            <w:rFonts w:ascii="Calibri" w:eastAsia="MS Mincho" w:hAnsi="Calibri" w:cs="Calibri"/>
            <w:color w:val="000000" w:themeColor="text1"/>
            <w:lang w:val="en-GB"/>
          </w:rPr>
          <w:t>Online abuse of politicians: Experimental evidence on politicians’ own perceptions</w:t>
        </w:r>
      </w:hyperlink>
      <w:r w:rsidRPr="00131C14">
        <w:rPr>
          <w:rFonts w:ascii="Calibri" w:eastAsia="MS Mincho" w:hAnsi="Calibri" w:cs="Calibri"/>
          <w:color w:val="000000" w:themeColor="text1"/>
          <w:lang w:val="en-GB"/>
        </w:rPr>
        <w:t xml:space="preserve">. </w:t>
      </w:r>
      <w:r w:rsidRPr="003173C8">
        <w:rPr>
          <w:rFonts w:ascii="Calibri" w:eastAsia="MS Mincho" w:hAnsi="Calibri" w:cs="Calibri"/>
          <w:color w:val="000000" w:themeColor="text1"/>
        </w:rPr>
        <w:t>P</w:t>
      </w:r>
      <w:r w:rsidRPr="003173C8">
        <w:rPr>
          <w:rFonts w:ascii="Calibri" w:eastAsia="MS Mincho" w:hAnsi="Calibri" w:cs="Calibri"/>
          <w:i/>
          <w:iCs/>
          <w:color w:val="000000" w:themeColor="text1"/>
        </w:rPr>
        <w:t xml:space="preserve">olitical Behavior, 47(1), 119–139. </w:t>
      </w:r>
      <w:hyperlink r:id="rId49" w:history="1">
        <w:r w:rsidRPr="00EA211E">
          <w:rPr>
            <w:rStyle w:val="Hyperlink"/>
            <w:rFonts w:ascii="Calibri" w:eastAsia="MS Mincho" w:hAnsi="Calibri" w:cs="Calibri"/>
          </w:rPr>
          <w:t>https://doi.org/10.21203/rs.3.rs-3376832/v1</w:t>
        </w:r>
      </w:hyperlink>
      <w:r w:rsidRPr="00EA211E">
        <w:rPr>
          <w:rFonts w:ascii="Calibri" w:eastAsia="MS Mincho" w:hAnsi="Calibri" w:cs="Calibri"/>
        </w:rPr>
        <w:t xml:space="preserve">. </w:t>
      </w:r>
    </w:p>
    <w:p w14:paraId="0D4A6316" w14:textId="77777777" w:rsidR="00C05D52" w:rsidRPr="003173C8" w:rsidRDefault="00C05D52" w:rsidP="00C05D52">
      <w:pPr>
        <w:spacing w:before="180" w:after="180" w:line="276" w:lineRule="auto"/>
      </w:pPr>
      <w:r w:rsidRPr="00DF2FD7">
        <w:rPr>
          <w:rFonts w:ascii="Calibri" w:eastAsia="MS Mincho" w:hAnsi="Calibri" w:cs="Calibri"/>
          <w:color w:val="000000" w:themeColor="text1"/>
        </w:rPr>
        <w:t xml:space="preserve">Sächsischer Landtag (2024). Attacke auf Matthias Ecke ist Angriff auf die Demokratie. </w:t>
      </w:r>
      <w:hyperlink r:id="rId50" w:history="1">
        <w:r w:rsidRPr="00DF2FD7">
          <w:rPr>
            <w:rStyle w:val="Hyperlink"/>
            <w:rFonts w:ascii="Calibri" w:eastAsia="MS Mincho" w:hAnsi="Calibri" w:cs="Calibri"/>
            <w:color w:val="000000" w:themeColor="text1"/>
          </w:rPr>
          <w:t>https://www.landtag.sachsen.de/de/service/presse/landtagspraesident-attacke-auf-matthias-ecke-ist-angriff-auf-demokratie-29310.cshtml</w:t>
        </w:r>
      </w:hyperlink>
      <w:r w:rsidRPr="00DF2FD7">
        <w:rPr>
          <w:rFonts w:ascii="Calibri" w:eastAsia="MS Mincho" w:hAnsi="Calibri" w:cs="Calibri"/>
          <w:color w:val="000000" w:themeColor="text1"/>
        </w:rPr>
        <w:t xml:space="preserve">, zuletzt geprüft am 18.08.2025. </w:t>
      </w:r>
    </w:p>
    <w:p w14:paraId="79C803E0" w14:textId="77777777" w:rsidR="00C05D52" w:rsidRPr="00DF2FD7" w:rsidRDefault="00C05D52" w:rsidP="00C05D52">
      <w:pPr>
        <w:spacing w:before="180" w:after="180"/>
        <w:rPr>
          <w:rFonts w:ascii="Calibri" w:hAnsi="Calibri" w:cs="Calibri"/>
          <w:color w:val="000000" w:themeColor="text1"/>
        </w:rPr>
      </w:pPr>
      <w:r w:rsidRPr="00CC6833">
        <w:rPr>
          <w:rFonts w:ascii="Calibri" w:hAnsi="Calibri" w:cs="Calibri"/>
          <w:color w:val="000000" w:themeColor="text1"/>
        </w:rPr>
        <w:t xml:space="preserve">Sagebiel, J. &amp; Pankofer, S. (2015). </w:t>
      </w:r>
      <w:r w:rsidRPr="00DF2FD7">
        <w:rPr>
          <w:rFonts w:ascii="Calibri" w:hAnsi="Calibri" w:cs="Calibri"/>
          <w:i/>
          <w:iCs/>
          <w:color w:val="000000" w:themeColor="text1"/>
        </w:rPr>
        <w:t>Soziale Arbeit und Machttheorien: Reflexionen und Handlungsansätze</w:t>
      </w:r>
      <w:r w:rsidRPr="00DF2FD7">
        <w:rPr>
          <w:rFonts w:ascii="Calibri" w:hAnsi="Calibri" w:cs="Calibri"/>
          <w:color w:val="000000" w:themeColor="text1"/>
        </w:rPr>
        <w:t>. Lambertus.</w:t>
      </w:r>
    </w:p>
    <w:p w14:paraId="0949B41F" w14:textId="77777777" w:rsidR="00C05D52" w:rsidRPr="00CC6833" w:rsidRDefault="00C05D52" w:rsidP="00C05D52">
      <w:pPr>
        <w:spacing w:before="180" w:after="180" w:line="276" w:lineRule="auto"/>
        <w:rPr>
          <w:rFonts w:ascii="Calibri" w:eastAsia="MS Mincho" w:hAnsi="Calibri" w:cs="Calibri"/>
          <w:color w:val="000000" w:themeColor="text1"/>
        </w:rPr>
      </w:pPr>
      <w:r w:rsidRPr="00DF2FD7">
        <w:rPr>
          <w:rFonts w:ascii="Calibri" w:eastAsia="MS Mincho" w:hAnsi="Calibri" w:cs="Calibri"/>
          <w:color w:val="000000" w:themeColor="text1"/>
        </w:rPr>
        <w:t>Schneider, F., Bajbouj, M. &amp; Heinz, A.</w:t>
      </w:r>
      <w:r>
        <w:rPr>
          <w:rFonts w:ascii="Calibri" w:eastAsia="MS Mincho" w:hAnsi="Calibri" w:cs="Calibri"/>
          <w:color w:val="000000" w:themeColor="text1"/>
        </w:rPr>
        <w:t xml:space="preserve"> (2016).</w:t>
      </w:r>
      <w:r w:rsidRPr="00DF2FD7">
        <w:rPr>
          <w:rFonts w:ascii="Calibri" w:eastAsia="MS Mincho" w:hAnsi="Calibri" w:cs="Calibri"/>
          <w:color w:val="000000" w:themeColor="text1"/>
        </w:rPr>
        <w:t xml:space="preserve"> Psychische Versorgung von Flüchtlingen in Deutschland. </w:t>
      </w:r>
      <w:r w:rsidRPr="00CC6833">
        <w:rPr>
          <w:rFonts w:ascii="Calibri" w:eastAsia="MS Mincho" w:hAnsi="Calibri" w:cs="Calibri"/>
          <w:i/>
          <w:iCs/>
          <w:color w:val="000000" w:themeColor="text1"/>
        </w:rPr>
        <w:t>Nervenarzt</w:t>
      </w:r>
      <w:r w:rsidRPr="00CC6833">
        <w:rPr>
          <w:rFonts w:ascii="Calibri" w:eastAsia="MS Mincho" w:hAnsi="Calibri" w:cs="Calibri"/>
          <w:color w:val="000000" w:themeColor="text1"/>
        </w:rPr>
        <w:t xml:space="preserve"> 88, 10–17. </w:t>
      </w:r>
      <w:hyperlink r:id="rId51" w:history="1">
        <w:r w:rsidRPr="00281E02">
          <w:rPr>
            <w:rStyle w:val="Hyperlink"/>
            <w:rFonts w:ascii="Calibri" w:eastAsia="MS Mincho" w:hAnsi="Calibri" w:cs="Calibri"/>
          </w:rPr>
          <w:t>https://doi.org/10.1007/s00115-016-0243-5</w:t>
        </w:r>
      </w:hyperlink>
      <w:r>
        <w:rPr>
          <w:rFonts w:ascii="Calibri" w:eastAsia="MS Mincho" w:hAnsi="Calibri" w:cs="Calibri"/>
          <w:color w:val="000000" w:themeColor="text1"/>
        </w:rPr>
        <w:t>.</w:t>
      </w:r>
    </w:p>
    <w:p w14:paraId="6B8FB398" w14:textId="77777777" w:rsidR="00C05D52" w:rsidRDefault="00C05D52" w:rsidP="00C05D52">
      <w:pPr>
        <w:spacing w:before="180" w:after="180"/>
        <w:rPr>
          <w:rFonts w:ascii="Calibri" w:hAnsi="Calibri" w:cs="Calibri"/>
          <w:color w:val="000000" w:themeColor="text1"/>
        </w:rPr>
      </w:pPr>
      <w:r w:rsidRPr="00DF2FD7">
        <w:rPr>
          <w:rFonts w:ascii="Calibri" w:hAnsi="Calibri" w:cs="Calibri"/>
          <w:color w:val="000000" w:themeColor="text1"/>
        </w:rPr>
        <w:t xml:space="preserve">Staub-Bernasconi, S. (2018). </w:t>
      </w:r>
      <w:r w:rsidRPr="00DF2FD7">
        <w:rPr>
          <w:rFonts w:ascii="Calibri" w:hAnsi="Calibri" w:cs="Calibri"/>
          <w:i/>
          <w:iCs/>
          <w:color w:val="000000" w:themeColor="text1"/>
        </w:rPr>
        <w:t xml:space="preserve">Soziale Arbeit als Handlungswissenschaft: Soziale Arbeit auf dem Weg zu kritischer Professionalität </w:t>
      </w:r>
      <w:r w:rsidRPr="00DF2FD7">
        <w:rPr>
          <w:rFonts w:ascii="Calibri" w:hAnsi="Calibri" w:cs="Calibri"/>
          <w:color w:val="000000" w:themeColor="text1"/>
        </w:rPr>
        <w:t>(2., vollst. überarb. Auflage). Barbara Budrich.</w:t>
      </w:r>
    </w:p>
    <w:p w14:paraId="02E9C01D" w14:textId="77777777" w:rsidR="00C05D52" w:rsidRPr="003A706E" w:rsidRDefault="00C05D52" w:rsidP="00C05D52">
      <w:pPr>
        <w:spacing w:before="180" w:after="180"/>
        <w:rPr>
          <w:rFonts w:ascii="Calibri" w:hAnsi="Calibri" w:cs="Calibri"/>
          <w:color w:val="000000" w:themeColor="text1"/>
        </w:rPr>
      </w:pPr>
      <w:r w:rsidRPr="000850E0">
        <w:rPr>
          <w:rFonts w:ascii="Calibri" w:hAnsi="Calibri" w:cs="Calibri"/>
          <w:color w:val="000000" w:themeColor="text1"/>
        </w:rPr>
        <w:t xml:space="preserve">Tricoli, M. (2007). Der Traum und die Kohärenz des Systems1. </w:t>
      </w:r>
      <w:r w:rsidRPr="000850E0">
        <w:rPr>
          <w:rFonts w:ascii="Calibri" w:hAnsi="Calibri" w:cs="Calibri"/>
          <w:i/>
          <w:iCs/>
          <w:color w:val="000000" w:themeColor="text1"/>
        </w:rPr>
        <w:t>Forum der Psychoanalyse</w:t>
      </w:r>
      <w:r w:rsidRPr="000850E0">
        <w:rPr>
          <w:rFonts w:ascii="Calibri" w:hAnsi="Calibri" w:cs="Calibri"/>
          <w:color w:val="000000" w:themeColor="text1"/>
        </w:rPr>
        <w:t xml:space="preserve">, 23, 34-43. </w:t>
      </w:r>
      <w:hyperlink r:id="rId52" w:tgtFrame="_blank" w:history="1">
        <w:r w:rsidRPr="000850E0">
          <w:rPr>
            <w:rStyle w:val="Hyperlink"/>
            <w:rFonts w:ascii="Calibri" w:hAnsi="Calibri" w:cs="Calibri"/>
          </w:rPr>
          <w:t>https://doi.org/10.1007/s00451-007-0308-y</w:t>
        </w:r>
      </w:hyperlink>
      <w:r w:rsidRPr="000850E0">
        <w:rPr>
          <w:rFonts w:ascii="Calibri" w:hAnsi="Calibri" w:cs="Calibri"/>
          <w:color w:val="000000" w:themeColor="text1"/>
        </w:rPr>
        <w:t>.</w:t>
      </w:r>
    </w:p>
    <w:p w14:paraId="5C7BCF9B" w14:textId="77777777" w:rsidR="00C05D52" w:rsidRPr="00D9738A" w:rsidRDefault="00C05D52" w:rsidP="00C05D52">
      <w:pPr>
        <w:spacing w:before="180" w:after="180"/>
        <w:rPr>
          <w:rFonts w:ascii="Calibri" w:hAnsi="Calibri" w:cs="Calibri"/>
          <w:color w:val="000000" w:themeColor="text1"/>
        </w:rPr>
      </w:pPr>
      <w:r w:rsidRPr="00AF5282">
        <w:rPr>
          <w:rFonts w:ascii="Calibri" w:hAnsi="Calibri" w:cs="Calibri"/>
          <w:color w:val="000000" w:themeColor="text1"/>
        </w:rPr>
        <w:t xml:space="preserve">VBRG &amp; BMB (Verband der Beratungsstellen für Betroffene rechter, rassistischer und antisemitischer Gewalt e. V. &amp; Bundesverband Mobile Beratung e. V.) (2020). Bedroht zu werden, gehört nicht zum Mandat: Ein Ratgeber zum Umgang mit rechten Bedrohungen und Angriffen für </w:t>
      </w:r>
      <w:r w:rsidRPr="00AF5282">
        <w:rPr>
          <w:rFonts w:ascii="Calibri" w:hAnsi="Calibri" w:cs="Calibri"/>
          <w:color w:val="000000" w:themeColor="text1"/>
        </w:rPr>
        <w:lastRenderedPageBreak/>
        <w:t xml:space="preserve">Kommunalpolitiker*innen und Kommunalverwaltung Anregungen für Unterstützungsangebote. </w:t>
      </w:r>
      <w:r w:rsidRPr="00D9738A">
        <w:rPr>
          <w:rFonts w:ascii="Calibri" w:hAnsi="Calibri" w:cs="Calibri"/>
          <w:color w:val="000000" w:themeColor="text1"/>
        </w:rPr>
        <w:t xml:space="preserve">URL: </w:t>
      </w:r>
      <w:hyperlink r:id="rId53" w:history="1">
        <w:r w:rsidRPr="00D9738A">
          <w:rPr>
            <w:rStyle w:val="Hyperlink"/>
            <w:rFonts w:ascii="Calibri" w:hAnsi="Calibri" w:cs="Calibri"/>
          </w:rPr>
          <w:t>https://bundesverband-mobile-beratung.de/publikationen/bedroht-zu-werden-gehoert-nicht-zum-mandat-zum-umgang-mit-rechten-bedrohungen-in-der-kommunalpolitik/</w:t>
        </w:r>
      </w:hyperlink>
      <w:r w:rsidRPr="00D9738A">
        <w:rPr>
          <w:rFonts w:ascii="Calibri" w:hAnsi="Calibri" w:cs="Calibri"/>
          <w:color w:val="000000" w:themeColor="text1"/>
        </w:rPr>
        <w:t xml:space="preserve"> </w:t>
      </w:r>
      <w:r w:rsidRPr="00AF5282">
        <w:rPr>
          <w:rFonts w:ascii="Calibri" w:hAnsi="Calibri" w:cs="Calibri"/>
          <w:color w:val="000000" w:themeColor="text1"/>
        </w:rPr>
        <w:t xml:space="preserve">zuletzt geprüft am </w:t>
      </w:r>
      <w:r>
        <w:rPr>
          <w:rFonts w:ascii="Calibri" w:hAnsi="Calibri" w:cs="Calibri"/>
          <w:color w:val="000000" w:themeColor="text1"/>
        </w:rPr>
        <w:t>05</w:t>
      </w:r>
      <w:r w:rsidRPr="00AF5282">
        <w:rPr>
          <w:rFonts w:ascii="Calibri" w:hAnsi="Calibri" w:cs="Calibri"/>
          <w:color w:val="000000" w:themeColor="text1"/>
        </w:rPr>
        <w:t>.12.202</w:t>
      </w:r>
      <w:r>
        <w:rPr>
          <w:rFonts w:ascii="Calibri" w:hAnsi="Calibri" w:cs="Calibri"/>
          <w:color w:val="000000" w:themeColor="text1"/>
        </w:rPr>
        <w:t>5</w:t>
      </w:r>
      <w:r w:rsidRPr="00AF5282">
        <w:rPr>
          <w:rFonts w:ascii="Calibri" w:hAnsi="Calibri" w:cs="Calibri"/>
          <w:color w:val="000000" w:themeColor="text1"/>
        </w:rPr>
        <w:t>.</w:t>
      </w:r>
    </w:p>
    <w:p w14:paraId="14D85A8F" w14:textId="77777777" w:rsidR="00C05D52" w:rsidRPr="000850E0" w:rsidRDefault="00C05D52" w:rsidP="00C05D52">
      <w:pPr>
        <w:spacing w:before="180" w:after="180"/>
        <w:rPr>
          <w:rFonts w:ascii="Calibri" w:hAnsi="Calibri" w:cs="Calibri"/>
          <w:color w:val="000000" w:themeColor="text1"/>
        </w:rPr>
      </w:pPr>
      <w:r w:rsidRPr="000850E0">
        <w:rPr>
          <w:rFonts w:ascii="Calibri" w:hAnsi="Calibri" w:cs="Calibri"/>
          <w:color w:val="000000" w:themeColor="text1"/>
        </w:rPr>
        <w:t>Widulle, W. (2020). Gesp</w:t>
      </w:r>
      <w:r>
        <w:rPr>
          <w:rFonts w:ascii="Calibri" w:hAnsi="Calibri" w:cs="Calibri"/>
          <w:color w:val="000000" w:themeColor="text1"/>
        </w:rPr>
        <w:t>r</w:t>
      </w:r>
      <w:r w:rsidRPr="000850E0">
        <w:rPr>
          <w:rFonts w:ascii="Calibri" w:hAnsi="Calibri" w:cs="Calibri"/>
          <w:color w:val="000000" w:themeColor="text1"/>
        </w:rPr>
        <w:t>ächsfü</w:t>
      </w:r>
      <w:r>
        <w:rPr>
          <w:rFonts w:ascii="Calibri" w:hAnsi="Calibri" w:cs="Calibri"/>
          <w:color w:val="000000" w:themeColor="text1"/>
        </w:rPr>
        <w:t>hr</w:t>
      </w:r>
      <w:r w:rsidRPr="000850E0">
        <w:rPr>
          <w:rFonts w:ascii="Calibri" w:hAnsi="Calibri" w:cs="Calibri"/>
          <w:color w:val="000000" w:themeColor="text1"/>
        </w:rPr>
        <w:t xml:space="preserve">ung in der </w:t>
      </w:r>
      <w:r>
        <w:rPr>
          <w:rFonts w:ascii="Calibri" w:hAnsi="Calibri" w:cs="Calibri"/>
          <w:color w:val="000000" w:themeColor="text1"/>
        </w:rPr>
        <w:t xml:space="preserve">Sozialen Arbeit. Grundlagen und Gestaltungshilfen (3. Auflage). Springer VS. </w:t>
      </w:r>
    </w:p>
    <w:p w14:paraId="4B16E3FC" w14:textId="77777777" w:rsidR="00C05D52" w:rsidRDefault="00C05D52" w:rsidP="00C05D52">
      <w:pPr>
        <w:spacing w:before="180" w:after="180"/>
      </w:pPr>
    </w:p>
    <w:p w14:paraId="0AAC3688" w14:textId="77777777" w:rsidR="00370ECA" w:rsidRDefault="00370ECA">
      <w:pPr>
        <w:rPr>
          <w:b/>
        </w:rPr>
      </w:pPr>
      <w:r>
        <w:rPr>
          <w:b/>
        </w:rPr>
        <w:br w:type="page"/>
      </w:r>
    </w:p>
    <w:p w14:paraId="5A84C18A" w14:textId="0A982ABC" w:rsidR="00C05D52" w:rsidRDefault="00C05D52" w:rsidP="00C05D52">
      <w:pPr>
        <w:spacing w:after="0" w:line="240" w:lineRule="auto"/>
        <w:rPr>
          <w:b/>
        </w:rPr>
      </w:pPr>
      <w:r w:rsidRPr="00CB6D5D">
        <w:rPr>
          <w:b/>
        </w:rPr>
        <w:lastRenderedPageBreak/>
        <w:t>Impressum</w:t>
      </w:r>
    </w:p>
    <w:p w14:paraId="3201B23C" w14:textId="77777777" w:rsidR="00C05D52" w:rsidRDefault="00C05D52" w:rsidP="00C05D52">
      <w:pPr>
        <w:spacing w:after="0" w:line="240" w:lineRule="auto"/>
        <w:rPr>
          <w:b/>
        </w:rPr>
      </w:pPr>
    </w:p>
    <w:p w14:paraId="061F7F3E" w14:textId="77777777" w:rsidR="00C05D52" w:rsidRPr="00856E3B" w:rsidRDefault="00C05D52" w:rsidP="00C05D52">
      <w:pPr>
        <w:spacing w:after="0" w:line="240" w:lineRule="auto"/>
        <w:rPr>
          <w:b/>
        </w:rPr>
      </w:pPr>
      <w:r>
        <w:rPr>
          <w:b/>
        </w:rPr>
        <w:t xml:space="preserve">ZepRa – </w:t>
      </w:r>
      <w:r w:rsidRPr="00856E3B">
        <w:rPr>
          <w:b/>
        </w:rPr>
        <w:t>Zeitschrift für praxisorientierte (De-)Radikalisierungsforschung</w:t>
      </w:r>
    </w:p>
    <w:p w14:paraId="01612007" w14:textId="77777777" w:rsidR="00C05D52" w:rsidRDefault="00C05D52" w:rsidP="00C05D5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Calibri" w:hAnsi="Calibri" w:cs="Calibri"/>
        </w:rPr>
      </w:pPr>
    </w:p>
    <w:p w14:paraId="0616705B" w14:textId="77777777" w:rsidR="00C05D52" w:rsidRDefault="00C05D52" w:rsidP="00C05D5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Calibri" w:hAnsi="Calibri" w:cs="Calibri"/>
        </w:rPr>
      </w:pPr>
      <w:r>
        <w:rPr>
          <w:rFonts w:ascii="Calibri" w:hAnsi="Calibri" w:cs="Calibri"/>
        </w:rPr>
        <w:t xml:space="preserve">Herausgeber: </w:t>
      </w:r>
    </w:p>
    <w:p w14:paraId="25E1154C" w14:textId="77777777" w:rsidR="00C05D52" w:rsidRDefault="00C05D52" w:rsidP="00C05D5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Calibri" w:hAnsi="Calibri" w:cs="Calibri"/>
        </w:rPr>
      </w:pPr>
      <w:r>
        <w:rPr>
          <w:rFonts w:ascii="Calibri" w:hAnsi="Calibri" w:cs="Calibri"/>
        </w:rPr>
        <w:t>modus | zad</w:t>
      </w:r>
      <w:r w:rsidRPr="00C53073">
        <w:rPr>
          <w:rFonts w:ascii="Calibri" w:hAnsi="Calibri" w:cs="Calibri"/>
        </w:rPr>
        <w:t xml:space="preserve"> – Zentrum für angewandte Deradikalisierungsforschung gGmbH</w:t>
      </w:r>
      <w:r>
        <w:rPr>
          <w:rFonts w:ascii="Calibri" w:hAnsi="Calibri" w:cs="Calibri"/>
        </w:rPr>
        <w:t xml:space="preserve"> </w:t>
      </w:r>
      <w:r w:rsidRPr="003065AE">
        <w:rPr>
          <w:rFonts w:ascii="Calibri" w:hAnsi="Calibri" w:cs="Calibri"/>
        </w:rPr>
        <w:t xml:space="preserve">und </w:t>
      </w:r>
    </w:p>
    <w:p w14:paraId="46FAD976" w14:textId="77777777" w:rsidR="00C05D52" w:rsidRPr="00217284" w:rsidRDefault="00C05D52" w:rsidP="00C05D5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Calibri" w:hAnsi="Calibri" w:cs="Calibri"/>
          <w:lang w:val="en-GB"/>
        </w:rPr>
      </w:pPr>
      <w:r w:rsidRPr="00217284">
        <w:rPr>
          <w:rFonts w:cs="Arial"/>
          <w:lang w:val="en-GB"/>
        </w:rPr>
        <w:t>Violence Prevention Network gGmbH</w:t>
      </w:r>
    </w:p>
    <w:p w14:paraId="20755E0C" w14:textId="77777777" w:rsidR="00C05D52" w:rsidRPr="00217284" w:rsidRDefault="00C05D52" w:rsidP="00C05D52">
      <w:pPr>
        <w:spacing w:after="0" w:line="240" w:lineRule="auto"/>
        <w:rPr>
          <w:rFonts w:ascii="Calibri" w:hAnsi="Calibri" w:cs="Calibri"/>
          <w:lang w:val="en-GB"/>
        </w:rPr>
      </w:pPr>
    </w:p>
    <w:p w14:paraId="51A5A9CE" w14:textId="77777777" w:rsidR="00C05D52" w:rsidRPr="00217284" w:rsidRDefault="00C05D52" w:rsidP="00C05D52">
      <w:pPr>
        <w:spacing w:after="0" w:line="240" w:lineRule="auto"/>
        <w:rPr>
          <w:rFonts w:ascii="Calibri" w:hAnsi="Calibri" w:cs="Calibri"/>
          <w:lang w:val="en-GB"/>
        </w:rPr>
      </w:pPr>
      <w:r w:rsidRPr="00217284">
        <w:rPr>
          <w:rFonts w:ascii="Calibri" w:hAnsi="Calibri" w:cs="Calibri"/>
          <w:lang w:val="en-GB"/>
        </w:rPr>
        <w:t>Redaktion:</w:t>
      </w:r>
    </w:p>
    <w:p w14:paraId="5B702D8F" w14:textId="77777777" w:rsidR="00C05D52" w:rsidRDefault="00C05D52" w:rsidP="00C05D5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Calibri" w:hAnsi="Calibri" w:cs="Calibri"/>
          <w:lang w:val="fr-FR"/>
        </w:rPr>
      </w:pPr>
      <w:r w:rsidRPr="00B17DA4">
        <w:rPr>
          <w:rFonts w:ascii="Calibri" w:hAnsi="Calibri" w:cs="Calibri"/>
          <w:lang w:val="fr-FR"/>
        </w:rPr>
        <w:t xml:space="preserve">Maximilian </w:t>
      </w:r>
      <w:r>
        <w:rPr>
          <w:rFonts w:ascii="Calibri" w:hAnsi="Calibri" w:cs="Calibri"/>
          <w:lang w:val="fr-FR"/>
        </w:rPr>
        <w:t xml:space="preserve">Campos </w:t>
      </w:r>
      <w:r w:rsidRPr="00B17DA4">
        <w:rPr>
          <w:rFonts w:ascii="Calibri" w:hAnsi="Calibri" w:cs="Calibri"/>
          <w:lang w:val="fr-FR"/>
        </w:rPr>
        <w:t>Ruf - maximilian.</w:t>
      </w:r>
      <w:r>
        <w:rPr>
          <w:rFonts w:ascii="Calibri" w:hAnsi="Calibri" w:cs="Calibri"/>
          <w:lang w:val="fr-FR"/>
        </w:rPr>
        <w:t>campos-</w:t>
      </w:r>
      <w:r w:rsidRPr="00B17DA4">
        <w:rPr>
          <w:rFonts w:ascii="Calibri" w:hAnsi="Calibri" w:cs="Calibri"/>
          <w:lang w:val="fr-FR"/>
        </w:rPr>
        <w:t xml:space="preserve">ruf@violence-prevention-network.de </w:t>
      </w:r>
    </w:p>
    <w:p w14:paraId="7990AC19" w14:textId="77777777" w:rsidR="00C05D52" w:rsidRPr="00B17DA4" w:rsidRDefault="00C05D52" w:rsidP="00C05D5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Calibri" w:hAnsi="Calibri" w:cs="Calibri"/>
          <w:lang w:val="fr-FR"/>
        </w:rPr>
      </w:pPr>
      <w:r>
        <w:rPr>
          <w:rFonts w:ascii="Calibri" w:hAnsi="Calibri" w:cs="Calibri"/>
          <w:lang w:val="fr-FR"/>
        </w:rPr>
        <w:t>Svetla Koynova - svetla.koynova@violence-prevention-network.de</w:t>
      </w:r>
    </w:p>
    <w:p w14:paraId="3E274387" w14:textId="77777777" w:rsidR="00C05D52" w:rsidRPr="00B17DA4" w:rsidRDefault="00C05D52" w:rsidP="00C05D52">
      <w:pPr>
        <w:spacing w:after="0" w:line="240" w:lineRule="auto"/>
        <w:rPr>
          <w:rFonts w:ascii="Calibri" w:hAnsi="Calibri" w:cs="Calibri"/>
          <w:lang w:val="fr-FR"/>
        </w:rPr>
      </w:pPr>
    </w:p>
    <w:p w14:paraId="0356630B" w14:textId="77777777" w:rsidR="00C05D52" w:rsidRPr="004168FE" w:rsidRDefault="00C05D52" w:rsidP="00C05D52">
      <w:pPr>
        <w:spacing w:after="0" w:line="240" w:lineRule="auto"/>
        <w:rPr>
          <w:rFonts w:ascii="Calibri" w:hAnsi="Calibri" w:cs="Calibri"/>
          <w:b/>
        </w:rPr>
      </w:pPr>
      <w:r w:rsidRPr="004168FE">
        <w:rPr>
          <w:rFonts w:ascii="Calibri" w:hAnsi="Calibri" w:cs="Calibri"/>
          <w:b/>
        </w:rPr>
        <w:t>ISSN 2750-1345</w:t>
      </w:r>
    </w:p>
    <w:p w14:paraId="24225E09" w14:textId="77777777" w:rsidR="00C05D52" w:rsidRPr="00B17DA4" w:rsidRDefault="00C05D52" w:rsidP="00C05D5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Calibri" w:hAnsi="Calibri" w:cs="Calibri"/>
        </w:rPr>
      </w:pPr>
    </w:p>
    <w:p w14:paraId="557E4C38" w14:textId="77777777" w:rsidR="00C05D52" w:rsidRPr="00C53073" w:rsidRDefault="00C05D52" w:rsidP="00C05D5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Calibri" w:hAnsi="Calibri" w:cs="Calibri"/>
        </w:rPr>
      </w:pPr>
      <w:r>
        <w:rPr>
          <w:rFonts w:ascii="Calibri" w:hAnsi="Calibri" w:cs="Calibri"/>
        </w:rPr>
        <w:t>modus | zad</w:t>
      </w:r>
      <w:r w:rsidRPr="00C53073">
        <w:rPr>
          <w:rFonts w:ascii="Calibri" w:hAnsi="Calibri" w:cs="Calibri"/>
        </w:rPr>
        <w:t xml:space="preserve"> – Zentrum für angewandte Deradikalisierungsforschung gGmbH</w:t>
      </w:r>
    </w:p>
    <w:p w14:paraId="693EEF16" w14:textId="77777777" w:rsidR="00C05D52" w:rsidRDefault="00C05D52" w:rsidP="00C05D5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Calibri" w:hAnsi="Calibri" w:cs="Calibri"/>
        </w:rPr>
      </w:pPr>
      <w:r>
        <w:rPr>
          <w:rFonts w:ascii="Calibri" w:hAnsi="Calibri" w:cs="Calibri"/>
        </w:rPr>
        <w:t>Judy Korn</w:t>
      </w:r>
    </w:p>
    <w:p w14:paraId="2E670AAA" w14:textId="77777777" w:rsidR="00C05D52" w:rsidRPr="00C53073" w:rsidRDefault="00C05D52" w:rsidP="00C05D5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Calibri" w:hAnsi="Calibri" w:cs="Calibri"/>
        </w:rPr>
      </w:pPr>
      <w:r w:rsidRPr="00C53073">
        <w:rPr>
          <w:rFonts w:ascii="Calibri" w:hAnsi="Calibri" w:cs="Calibri"/>
        </w:rPr>
        <w:t>Alt-Reinickendorf 25</w:t>
      </w:r>
    </w:p>
    <w:p w14:paraId="4210F645" w14:textId="77777777" w:rsidR="00C05D52" w:rsidRPr="00C53073" w:rsidRDefault="00C05D52" w:rsidP="00C05D5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Calibri" w:hAnsi="Calibri" w:cs="Calibri"/>
        </w:rPr>
      </w:pPr>
      <w:r w:rsidRPr="00C53073">
        <w:rPr>
          <w:rFonts w:ascii="Calibri" w:hAnsi="Calibri" w:cs="Calibri"/>
        </w:rPr>
        <w:t>13407 Berlin</w:t>
      </w:r>
    </w:p>
    <w:p w14:paraId="1FC49F18" w14:textId="77777777" w:rsidR="00C05D52" w:rsidRPr="00C53073" w:rsidRDefault="00C05D52" w:rsidP="00C05D5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Calibri" w:hAnsi="Calibri" w:cs="Calibri"/>
        </w:rPr>
      </w:pPr>
      <w:r>
        <w:rPr>
          <w:rFonts w:ascii="Calibri" w:hAnsi="Calibri" w:cs="Calibri"/>
        </w:rPr>
        <w:t>Telefon: (0</w:t>
      </w:r>
      <w:r w:rsidRPr="00C53073">
        <w:rPr>
          <w:rFonts w:ascii="Calibri" w:hAnsi="Calibri" w:cs="Calibri"/>
        </w:rPr>
        <w:t>30</w:t>
      </w:r>
      <w:r>
        <w:rPr>
          <w:rFonts w:ascii="Calibri" w:hAnsi="Calibri" w:cs="Calibri"/>
        </w:rPr>
        <w:t>)</w:t>
      </w:r>
      <w:r w:rsidRPr="00C53073">
        <w:rPr>
          <w:rFonts w:ascii="Calibri" w:hAnsi="Calibri" w:cs="Calibri"/>
        </w:rPr>
        <w:t xml:space="preserve"> 40 75 51 20</w:t>
      </w:r>
    </w:p>
    <w:p w14:paraId="55181005" w14:textId="73D48856" w:rsidR="00C05D52" w:rsidRPr="009715B1" w:rsidRDefault="009715B1" w:rsidP="00C05D5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Calibri" w:hAnsi="Calibri" w:cs="Calibri"/>
        </w:rPr>
      </w:pPr>
      <w:hyperlink r:id="rId54" w:history="1">
        <w:r w:rsidRPr="009715B1">
          <w:rPr>
            <w:rStyle w:val="Hyperlink"/>
            <w:rFonts w:ascii="Calibri" w:hAnsi="Calibri" w:cs="Calibri"/>
          </w:rPr>
          <w:t>Link öffnet E-Mail an modus zad</w:t>
        </w:r>
      </w:hyperlink>
    </w:p>
    <w:p w14:paraId="172B616B" w14:textId="5D28E3CC" w:rsidR="00C05D52" w:rsidRPr="009F4A07" w:rsidRDefault="009F4A07" w:rsidP="00C05D5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Style w:val="Hyperlink"/>
          <w:rFonts w:ascii="Calibri" w:hAnsi="Calibri" w:cs="Calibri"/>
        </w:rPr>
      </w:pPr>
      <w:r>
        <w:rPr>
          <w:rFonts w:ascii="Calibri" w:hAnsi="Calibri" w:cs="Calibri"/>
        </w:rPr>
        <w:fldChar w:fldCharType="begin"/>
      </w:r>
      <w:r>
        <w:rPr>
          <w:rFonts w:ascii="Calibri" w:hAnsi="Calibri" w:cs="Calibri"/>
        </w:rPr>
        <w:instrText>HYPERLINK "https://www.modus-zad.de"</w:instrText>
      </w:r>
      <w:r>
        <w:rPr>
          <w:rFonts w:ascii="Calibri" w:hAnsi="Calibri" w:cs="Calibri"/>
        </w:rPr>
      </w:r>
      <w:r>
        <w:rPr>
          <w:rFonts w:ascii="Calibri" w:hAnsi="Calibri" w:cs="Calibri"/>
        </w:rPr>
        <w:fldChar w:fldCharType="separate"/>
      </w:r>
      <w:r w:rsidR="009715B1" w:rsidRPr="009F4A07">
        <w:rPr>
          <w:rStyle w:val="Hyperlink"/>
          <w:rFonts w:ascii="Calibri" w:hAnsi="Calibri" w:cs="Calibri"/>
        </w:rPr>
        <w:t>Link öffnet Website von modus zad</w:t>
      </w:r>
    </w:p>
    <w:p w14:paraId="7644F1ED" w14:textId="5149D2F7" w:rsidR="00C05D52" w:rsidRDefault="009F4A07" w:rsidP="00C05D5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Arial"/>
        </w:rPr>
      </w:pPr>
      <w:r>
        <w:rPr>
          <w:rFonts w:ascii="Calibri" w:hAnsi="Calibri" w:cs="Calibri"/>
        </w:rPr>
        <w:fldChar w:fldCharType="end"/>
      </w:r>
      <w:hyperlink r:id="rId55" w:history="1">
        <w:r w:rsidR="009715B1" w:rsidRPr="009715B1">
          <w:rPr>
            <w:rStyle w:val="Hyperlink"/>
            <w:rFonts w:cs="Arial"/>
          </w:rPr>
          <w:t>Link öffnet LinkedIn Account von modus zad</w:t>
        </w:r>
      </w:hyperlink>
    </w:p>
    <w:p w14:paraId="4E0209CE" w14:textId="77777777" w:rsidR="00C05D52" w:rsidRDefault="00C05D52" w:rsidP="00C05D5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Arial"/>
        </w:rPr>
      </w:pPr>
    </w:p>
    <w:p w14:paraId="3F3F15A7" w14:textId="77777777" w:rsidR="00C05D52" w:rsidRPr="0012058B" w:rsidRDefault="00C05D52" w:rsidP="00C05D5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Arial"/>
        </w:rPr>
      </w:pPr>
      <w:r>
        <w:rPr>
          <w:rFonts w:cs="Arial"/>
        </w:rPr>
        <w:t>Eingetragen im Handel</w:t>
      </w:r>
      <w:r w:rsidRPr="0012058B">
        <w:rPr>
          <w:rFonts w:cs="Arial"/>
        </w:rPr>
        <w:t xml:space="preserve">sregister beim Amtsgericht Berlin-Charlottenburg </w:t>
      </w:r>
    </w:p>
    <w:p w14:paraId="722E7E22" w14:textId="77777777" w:rsidR="00C05D52" w:rsidRDefault="00C05D52" w:rsidP="00C05D5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Arial"/>
        </w:rPr>
      </w:pPr>
      <w:r>
        <w:rPr>
          <w:rFonts w:cs="Arial"/>
        </w:rPr>
        <w:t>unter der Handel</w:t>
      </w:r>
      <w:r w:rsidRPr="0012058B">
        <w:rPr>
          <w:rFonts w:cs="Arial"/>
        </w:rPr>
        <w:t xml:space="preserve">sregisternummer: </w:t>
      </w:r>
      <w:r w:rsidRPr="00C53073">
        <w:t>HRB 198070 B</w:t>
      </w:r>
    </w:p>
    <w:p w14:paraId="7CA9CFB7" w14:textId="77777777" w:rsidR="00C05D52" w:rsidRDefault="00C05D52" w:rsidP="00C05D5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Calibri" w:hAnsi="Calibri" w:cs="Calibri"/>
          <w:color w:val="68696B"/>
        </w:rPr>
      </w:pPr>
    </w:p>
    <w:p w14:paraId="199298F1" w14:textId="77777777" w:rsidR="00C05D52" w:rsidRDefault="00C05D52" w:rsidP="00C05D5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Arial"/>
        </w:rPr>
      </w:pPr>
      <w:r>
        <w:rPr>
          <w:rFonts w:cs="Arial"/>
        </w:rPr>
        <w:t>--</w:t>
      </w:r>
    </w:p>
    <w:p w14:paraId="280219F6" w14:textId="77777777" w:rsidR="00C05D52" w:rsidRDefault="00C05D52" w:rsidP="00C05D5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Arial"/>
        </w:rPr>
      </w:pPr>
    </w:p>
    <w:p w14:paraId="73AAC5FC" w14:textId="77777777" w:rsidR="00C05D52" w:rsidRPr="003065AE" w:rsidRDefault="00C05D52" w:rsidP="00C05D5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Arial"/>
          <w:lang w:val="en-GB"/>
        </w:rPr>
      </w:pPr>
      <w:r w:rsidRPr="003065AE">
        <w:rPr>
          <w:rFonts w:cs="Arial"/>
          <w:lang w:val="en-GB"/>
        </w:rPr>
        <w:t>Violence Prevention Network gGmbH</w:t>
      </w:r>
    </w:p>
    <w:p w14:paraId="797A49A8" w14:textId="77777777" w:rsidR="00C05D52" w:rsidRPr="003065AE" w:rsidRDefault="00C05D52" w:rsidP="00C05D5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Arial"/>
          <w:lang w:val="en-GB"/>
        </w:rPr>
      </w:pPr>
      <w:r w:rsidRPr="003065AE">
        <w:rPr>
          <w:rFonts w:cs="Arial"/>
          <w:lang w:val="en-GB"/>
        </w:rPr>
        <w:t xml:space="preserve">Judy Korn, Thomas Mücke </w:t>
      </w:r>
    </w:p>
    <w:p w14:paraId="6368AEA3" w14:textId="77777777" w:rsidR="00C05D52" w:rsidRDefault="00C05D52" w:rsidP="00C05D5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pPr>
      <w:r w:rsidRPr="005C6F72">
        <w:t>Alt</w:t>
      </w:r>
      <w:r>
        <w:t>-Reinickendorf 25</w:t>
      </w:r>
    </w:p>
    <w:p w14:paraId="42007FC0" w14:textId="77777777" w:rsidR="00C05D52" w:rsidRPr="00A41A46" w:rsidRDefault="00C05D52" w:rsidP="00C05D5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Arial"/>
        </w:rPr>
      </w:pPr>
      <w:r w:rsidRPr="005C6F72">
        <w:t xml:space="preserve">13407 </w:t>
      </w:r>
      <w:r w:rsidRPr="00A41A46">
        <w:rPr>
          <w:rFonts w:cs="Arial"/>
        </w:rPr>
        <w:t xml:space="preserve">Berlin </w:t>
      </w:r>
    </w:p>
    <w:p w14:paraId="2831CF1B" w14:textId="77777777" w:rsidR="00C05D52" w:rsidRPr="00A41A46" w:rsidRDefault="00C05D52" w:rsidP="00C05D5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Arial"/>
        </w:rPr>
      </w:pPr>
      <w:r w:rsidRPr="00A41A46">
        <w:rPr>
          <w:rFonts w:cs="Arial"/>
        </w:rPr>
        <w:t xml:space="preserve">Tel.: (030) 917 05 464 </w:t>
      </w:r>
    </w:p>
    <w:p w14:paraId="19E2F6EF" w14:textId="77777777" w:rsidR="00C05D52" w:rsidRPr="007E33D7" w:rsidRDefault="00C05D52" w:rsidP="00C05D5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Arial"/>
        </w:rPr>
      </w:pPr>
      <w:r w:rsidRPr="007E33D7">
        <w:rPr>
          <w:rFonts w:cs="Arial"/>
        </w:rPr>
        <w:t xml:space="preserve">Fax: (030) 398 35 284 </w:t>
      </w:r>
    </w:p>
    <w:p w14:paraId="0F8B6B9A" w14:textId="2A95A10F" w:rsidR="00C05D52" w:rsidRPr="00D2626C" w:rsidRDefault="007078A5" w:rsidP="00C05D5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Arial"/>
          <w:lang w:val="en-GB"/>
        </w:rPr>
      </w:pPr>
      <w:hyperlink r:id="rId56" w:history="1">
        <w:r w:rsidRPr="00594C87">
          <w:rPr>
            <w:rStyle w:val="Hyperlink"/>
            <w:rFonts w:cs="Arial"/>
            <w:lang w:val="en-GB"/>
          </w:rPr>
          <w:t>Link öffnet Facebook Account von Violence Prevention Network</w:t>
        </w:r>
      </w:hyperlink>
    </w:p>
    <w:p w14:paraId="3DC612C9" w14:textId="7BF80D8F" w:rsidR="00C05D52" w:rsidRDefault="00944E86" w:rsidP="00C05D5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lang w:val="en-GB"/>
        </w:rPr>
      </w:pPr>
      <w:hyperlink r:id="rId57" w:history="1">
        <w:r w:rsidRPr="00944E86">
          <w:rPr>
            <w:rStyle w:val="Hyperlink"/>
            <w:lang w:val="en-GB"/>
          </w:rPr>
          <w:t>Link öffnet LinkedIn Account von Violence Prevention Network</w:t>
        </w:r>
      </w:hyperlink>
    </w:p>
    <w:p w14:paraId="2936AAD5" w14:textId="77777777" w:rsidR="00944E86" w:rsidRPr="00944E86" w:rsidRDefault="00944E86" w:rsidP="00C05D5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Arial"/>
          <w:lang w:val="en-GB"/>
        </w:rPr>
      </w:pPr>
    </w:p>
    <w:p w14:paraId="72CB8AF3" w14:textId="77777777" w:rsidR="00C05D52" w:rsidRPr="00944E86" w:rsidRDefault="00C05D52" w:rsidP="00C05D5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Arial"/>
          <w:lang w:val="en-GB"/>
        </w:rPr>
      </w:pPr>
    </w:p>
    <w:p w14:paraId="059E75A1" w14:textId="77777777" w:rsidR="00C05D52" w:rsidRPr="0012058B" w:rsidRDefault="00C05D52" w:rsidP="00C05D5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Arial"/>
        </w:rPr>
      </w:pPr>
      <w:r>
        <w:rPr>
          <w:rFonts w:cs="Arial"/>
        </w:rPr>
        <w:t>Eingetragen im Handel</w:t>
      </w:r>
      <w:r w:rsidRPr="0012058B">
        <w:rPr>
          <w:rFonts w:cs="Arial"/>
        </w:rPr>
        <w:t xml:space="preserve">sregister beim Amtsgericht Berlin-Charlottenburg </w:t>
      </w:r>
    </w:p>
    <w:p w14:paraId="2B1363F4" w14:textId="77777777" w:rsidR="00C05D52" w:rsidRDefault="00C05D52" w:rsidP="00C05D5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Arial"/>
        </w:rPr>
      </w:pPr>
      <w:r>
        <w:rPr>
          <w:rFonts w:cs="Arial"/>
        </w:rPr>
        <w:t>unter der Handel</w:t>
      </w:r>
      <w:r w:rsidRPr="0012058B">
        <w:rPr>
          <w:rFonts w:cs="Arial"/>
        </w:rPr>
        <w:t xml:space="preserve">sregisternummer: </w:t>
      </w:r>
      <w:r>
        <w:t>HRB 221974 B</w:t>
      </w:r>
    </w:p>
    <w:p w14:paraId="21EE3F8A" w14:textId="77777777" w:rsidR="00C05D52" w:rsidRDefault="00C05D52" w:rsidP="00C05D52">
      <w:pPr>
        <w:spacing w:after="0" w:line="240" w:lineRule="auto"/>
      </w:pPr>
    </w:p>
    <w:p w14:paraId="4C0857F1" w14:textId="77777777" w:rsidR="00C05D52" w:rsidRDefault="00C05D52" w:rsidP="00C05D52">
      <w:pPr>
        <w:spacing w:after="0" w:line="240" w:lineRule="auto"/>
      </w:pPr>
    </w:p>
    <w:p w14:paraId="772284F9" w14:textId="77777777" w:rsidR="00C05D52" w:rsidRDefault="00C05D52" w:rsidP="00C05D52">
      <w:pPr>
        <w:spacing w:after="0" w:line="240" w:lineRule="auto"/>
      </w:pPr>
    </w:p>
    <w:p w14:paraId="02544F27" w14:textId="77777777" w:rsidR="00C05D52" w:rsidRDefault="00C05D52" w:rsidP="00C05D52">
      <w:pPr>
        <w:spacing w:after="0" w:line="240" w:lineRule="auto"/>
      </w:pPr>
    </w:p>
    <w:p w14:paraId="776D4708" w14:textId="0981C08F" w:rsidR="00C05D52" w:rsidRDefault="00C05D52" w:rsidP="00C05D52">
      <w:pPr>
        <w:spacing w:after="0" w:line="240" w:lineRule="auto"/>
      </w:pPr>
      <w:r>
        <w:rPr>
          <w:noProof/>
        </w:rPr>
        <w:drawing>
          <wp:anchor distT="0" distB="0" distL="114300" distR="114300" simplePos="0" relativeHeight="251668486" behindDoc="1" locked="0" layoutInCell="1" allowOverlap="1" wp14:anchorId="5D173AA8" wp14:editId="3B565144">
            <wp:simplePos x="0" y="0"/>
            <wp:positionH relativeFrom="margin">
              <wp:posOffset>-90805</wp:posOffset>
            </wp:positionH>
            <wp:positionV relativeFrom="margin">
              <wp:posOffset>7527290</wp:posOffset>
            </wp:positionV>
            <wp:extent cx="2489200" cy="1150620"/>
            <wp:effectExtent l="0" t="0" r="6350" b="0"/>
            <wp:wrapSquare wrapText="bothSides"/>
            <wp:docPr id="1492365479" name="Grafik 9" descr="Logo von modus zad Zentrum für angewandte Deradikalisierungsforsch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2365479" name="Grafik 9" descr="Logo von modus zad Zentrum für angewandte Deradikalisierungsforschung"/>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2489200" cy="115062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7462" behindDoc="1" locked="0" layoutInCell="1" allowOverlap="1" wp14:anchorId="5F3219C5" wp14:editId="70234E24">
            <wp:simplePos x="0" y="0"/>
            <wp:positionH relativeFrom="margin">
              <wp:posOffset>3128010</wp:posOffset>
            </wp:positionH>
            <wp:positionV relativeFrom="margin">
              <wp:posOffset>7831455</wp:posOffset>
            </wp:positionV>
            <wp:extent cx="3049905" cy="591820"/>
            <wp:effectExtent l="0" t="0" r="0" b="0"/>
            <wp:wrapTight wrapText="bothSides">
              <wp:wrapPolygon edited="0">
                <wp:start x="0" y="0"/>
                <wp:lineTo x="0" y="20858"/>
                <wp:lineTo x="21452" y="20858"/>
                <wp:lineTo x="21452" y="0"/>
                <wp:lineTo x="0" y="0"/>
              </wp:wrapPolygon>
            </wp:wrapTight>
            <wp:docPr id="900549600" name="Grafik 8" descr="Logo von Violence Prevention Netwo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0549600" name="Grafik 8" descr="Logo von Violence Prevention Network"/>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3049905" cy="591820"/>
                    </a:xfrm>
                    <a:prstGeom prst="rect">
                      <a:avLst/>
                    </a:prstGeom>
                    <a:noFill/>
                  </pic:spPr>
                </pic:pic>
              </a:graphicData>
            </a:graphic>
            <wp14:sizeRelH relativeFrom="page">
              <wp14:pctWidth>0</wp14:pctWidth>
            </wp14:sizeRelH>
            <wp14:sizeRelV relativeFrom="page">
              <wp14:pctHeight>0</wp14:pctHeight>
            </wp14:sizeRelV>
          </wp:anchor>
        </w:drawing>
      </w:r>
    </w:p>
    <w:p w14:paraId="1AFB3C47" w14:textId="364B0322" w:rsidR="00DC1407" w:rsidRPr="0046220B" w:rsidRDefault="00DC1407" w:rsidP="00C53073">
      <w:pPr>
        <w:spacing w:after="0" w:line="240" w:lineRule="auto"/>
        <w:rPr>
          <w:rFonts w:cstheme="minorHAnsi"/>
        </w:rPr>
      </w:pPr>
    </w:p>
    <w:sectPr w:rsidR="00DC1407" w:rsidRPr="0046220B" w:rsidSect="00FD7E83">
      <w:footerReference w:type="default" r:id="rId60"/>
      <w:pgSz w:w="11906" w:h="16838"/>
      <w:pgMar w:top="1417" w:right="1417" w:bottom="1134"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46F6B0" w14:textId="77777777" w:rsidR="00D10504" w:rsidRDefault="00D10504" w:rsidP="008B4C6F">
      <w:pPr>
        <w:spacing w:after="0" w:line="240" w:lineRule="auto"/>
      </w:pPr>
      <w:r>
        <w:separator/>
      </w:r>
    </w:p>
  </w:endnote>
  <w:endnote w:type="continuationSeparator" w:id="0">
    <w:p w14:paraId="7A75C12D" w14:textId="77777777" w:rsidR="00D10504" w:rsidRDefault="00D10504" w:rsidP="008B4C6F">
      <w:pPr>
        <w:spacing w:after="0" w:line="240" w:lineRule="auto"/>
      </w:pPr>
      <w:r>
        <w:continuationSeparator/>
      </w:r>
    </w:p>
  </w:endnote>
  <w:endnote w:type="continuationNotice" w:id="1">
    <w:p w14:paraId="746242BE" w14:textId="77777777" w:rsidR="00D10504" w:rsidRDefault="00D1050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dvOT4b47d116">
    <w:altName w:val="Cambria"/>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0648172"/>
      <w:docPartObj>
        <w:docPartGallery w:val="Page Numbers (Bottom of Page)"/>
        <w:docPartUnique/>
      </w:docPartObj>
    </w:sdtPr>
    <w:sdtContent>
      <w:p w14:paraId="61F5FDE6" w14:textId="462170CB" w:rsidR="00FD1153" w:rsidRDefault="00FD1153">
        <w:pPr>
          <w:pStyle w:val="Fuzeile"/>
          <w:jc w:val="right"/>
        </w:pPr>
        <w:r>
          <w:fldChar w:fldCharType="begin"/>
        </w:r>
        <w:r>
          <w:instrText>PAGE   \* MERGEFORMAT</w:instrText>
        </w:r>
        <w:r>
          <w:fldChar w:fldCharType="separate"/>
        </w:r>
        <w:r>
          <w:t>2</w:t>
        </w:r>
        <w:r>
          <w:fldChar w:fldCharType="end"/>
        </w:r>
      </w:p>
    </w:sdtContent>
  </w:sdt>
  <w:p w14:paraId="73BEC9A5" w14:textId="04007DCF" w:rsidR="00804107" w:rsidRPr="00C14B70" w:rsidRDefault="00804107" w:rsidP="00C14B7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30E160" w14:textId="77777777" w:rsidR="00D10504" w:rsidRDefault="00D10504" w:rsidP="008B4C6F">
      <w:pPr>
        <w:spacing w:after="0" w:line="240" w:lineRule="auto"/>
      </w:pPr>
      <w:r>
        <w:separator/>
      </w:r>
    </w:p>
  </w:footnote>
  <w:footnote w:type="continuationSeparator" w:id="0">
    <w:p w14:paraId="116A9613" w14:textId="77777777" w:rsidR="00D10504" w:rsidRDefault="00D10504" w:rsidP="008B4C6F">
      <w:pPr>
        <w:spacing w:after="0" w:line="240" w:lineRule="auto"/>
      </w:pPr>
      <w:r>
        <w:continuationSeparator/>
      </w:r>
    </w:p>
  </w:footnote>
  <w:footnote w:type="continuationNotice" w:id="1">
    <w:p w14:paraId="05EB7D6E" w14:textId="77777777" w:rsidR="00D10504" w:rsidRDefault="00D10504">
      <w:pPr>
        <w:spacing w:after="0" w:line="240" w:lineRule="auto"/>
      </w:pPr>
    </w:p>
  </w:footnote>
  <w:footnote w:id="2">
    <w:p w14:paraId="5EA374BE" w14:textId="5926735F" w:rsidR="003C268C" w:rsidRPr="00E50B6A" w:rsidRDefault="003C268C" w:rsidP="003C268C">
      <w:pPr>
        <w:pStyle w:val="Funotentext"/>
        <w:rPr>
          <w:rFonts w:cstheme="minorHAnsi"/>
        </w:rPr>
      </w:pPr>
      <w:r w:rsidRPr="00E50B6A">
        <w:rPr>
          <w:rStyle w:val="Funotenzeichen"/>
          <w:rFonts w:cstheme="minorHAnsi"/>
        </w:rPr>
        <w:footnoteRef/>
      </w:r>
      <w:r w:rsidRPr="00E50B6A">
        <w:rPr>
          <w:rFonts w:cstheme="minorHAnsi"/>
        </w:rPr>
        <w:t xml:space="preserve"> </w:t>
      </w:r>
      <w:r w:rsidRPr="001674F2">
        <w:rPr>
          <w:rFonts w:cstheme="minorHAnsi"/>
        </w:rPr>
        <w:t xml:space="preserve">Siehe dazu nachfolgende </w:t>
      </w:r>
      <w:r w:rsidR="00F40BA3" w:rsidRPr="001674F2">
        <w:rPr>
          <w:rFonts w:cstheme="minorHAnsi"/>
        </w:rPr>
        <w:t xml:space="preserve">Vorstöße </w:t>
      </w:r>
      <w:r w:rsidRPr="001674F2">
        <w:rPr>
          <w:rFonts w:cstheme="minorHAnsi"/>
        </w:rPr>
        <w:t>im Schweizer Parlament: Parlamentarische Initiative 08.409, Fraktion der Schweizer Volkspartei, Ausbürgerung von kriminellen Eingebürgerten; Parlamentarische Initiative 14.450, Toni Brunner, Entzug des Schweizer Bürgerrechts für Söldner; Motion 14.3705, Marco Romano, Aberkennung des Schweizer Bürgerrechts bei Dschihadisten mit Doppelbürgerschaft; Motion 17.3284, Lorenzo Quadri, Ausbürgerung von eingebürgerten Personen, die schwere Verbrechen begehen; Motion 19.3305, Jean-Luc Addor, Entzug des Schweizer Bürgerrechts nicht nur für Dschihadisten mit doppelter Staatsbürgerschaft; Motion 19.3376, Rino Büchel, Konsequentes Vorgehen gegen Dschihad-Rückkehrer und Terrorunterstützer.</w:t>
      </w:r>
    </w:p>
  </w:footnote>
  <w:footnote w:id="3">
    <w:p w14:paraId="3FC298E1" w14:textId="3324E00D" w:rsidR="003C268C" w:rsidRDefault="003C268C" w:rsidP="003C268C">
      <w:pPr>
        <w:pStyle w:val="Funotentext"/>
      </w:pPr>
      <w:r w:rsidRPr="00E50B6A">
        <w:rPr>
          <w:rStyle w:val="Funotenzeichen"/>
          <w:rFonts w:cstheme="minorHAnsi"/>
        </w:rPr>
        <w:footnoteRef/>
      </w:r>
      <w:r w:rsidRPr="00E50B6A">
        <w:rPr>
          <w:rFonts w:cstheme="minorHAnsi"/>
        </w:rPr>
        <w:t xml:space="preserve"> </w:t>
      </w:r>
      <w:r w:rsidRPr="001674F2">
        <w:rPr>
          <w:rFonts w:cstheme="minorHAnsi"/>
        </w:rPr>
        <w:t xml:space="preserve">Die </w:t>
      </w:r>
      <w:r w:rsidR="00E3414D" w:rsidRPr="001674F2">
        <w:rPr>
          <w:rFonts w:cstheme="minorHAnsi"/>
        </w:rPr>
        <w:t xml:space="preserve">Rechtmäßigkeit </w:t>
      </w:r>
      <w:r w:rsidRPr="001674F2">
        <w:rPr>
          <w:rFonts w:cstheme="minorHAnsi"/>
        </w:rPr>
        <w:t>dieser Verfahren wurde in BVGer F-5427/2019 vom 31. Mai 2021 sowie BGer 1C_457/2021 vom 25. März 2022 teilweise höchstrichterlich bestätigt.</w:t>
      </w:r>
    </w:p>
  </w:footnote>
  <w:footnote w:id="4">
    <w:p w14:paraId="276FD33F" w14:textId="5B5001D4" w:rsidR="003C268C" w:rsidRPr="00B0114F" w:rsidRDefault="003C268C" w:rsidP="003C268C">
      <w:pPr>
        <w:pStyle w:val="Funotentext"/>
        <w:rPr>
          <w:rFonts w:cstheme="minorHAnsi"/>
        </w:rPr>
      </w:pPr>
      <w:r w:rsidRPr="00B0114F">
        <w:rPr>
          <w:rStyle w:val="Funotenzeichen"/>
          <w:rFonts w:cstheme="minorHAnsi"/>
        </w:rPr>
        <w:footnoteRef/>
      </w:r>
      <w:r w:rsidRPr="00B0114F">
        <w:rPr>
          <w:rFonts w:cstheme="minorHAnsi"/>
        </w:rPr>
        <w:t xml:space="preserve"> </w:t>
      </w:r>
      <w:r w:rsidRPr="001674F2">
        <w:rPr>
          <w:rFonts w:eastAsia="Times New Roman" w:cstheme="minorHAnsi"/>
          <w:kern w:val="0"/>
          <w:lang w:eastAsia="de-DE"/>
          <w14:ligatures w14:val="none"/>
        </w:rPr>
        <w:t>BVGer F-5427/2019 vom 31. Mai 2021; zum Sachverhalt siehe auch Hanimann in: Republik 2019.</w:t>
      </w:r>
    </w:p>
  </w:footnote>
  <w:footnote w:id="5">
    <w:p w14:paraId="0807D3C2" w14:textId="77777777" w:rsidR="003C268C" w:rsidRPr="00B0114F" w:rsidRDefault="003C268C" w:rsidP="003C268C">
      <w:pPr>
        <w:pStyle w:val="Funotentext"/>
        <w:rPr>
          <w:rFonts w:cstheme="minorHAnsi"/>
        </w:rPr>
      </w:pPr>
      <w:r w:rsidRPr="00B0114F">
        <w:rPr>
          <w:rStyle w:val="Funotenzeichen"/>
          <w:rFonts w:cstheme="minorHAnsi"/>
        </w:rPr>
        <w:footnoteRef/>
      </w:r>
      <w:r w:rsidRPr="00B0114F">
        <w:rPr>
          <w:rFonts w:cstheme="minorHAnsi"/>
        </w:rPr>
        <w:t xml:space="preserve"> </w:t>
      </w:r>
      <w:r w:rsidRPr="001674F2">
        <w:rPr>
          <w:rFonts w:cstheme="minorHAnsi"/>
        </w:rPr>
        <w:t>BGer 1C_457/2021 vom 25. März 2022.</w:t>
      </w:r>
    </w:p>
  </w:footnote>
  <w:footnote w:id="6">
    <w:p w14:paraId="2F5371F9" w14:textId="42BD25A8" w:rsidR="003C268C" w:rsidRPr="00BD20A7" w:rsidRDefault="003C268C" w:rsidP="003C268C">
      <w:pPr>
        <w:pStyle w:val="Funotentext"/>
      </w:pPr>
      <w:r w:rsidRPr="00B0114F">
        <w:rPr>
          <w:rStyle w:val="Funotenzeichen"/>
          <w:rFonts w:cstheme="minorHAnsi"/>
        </w:rPr>
        <w:footnoteRef/>
      </w:r>
      <w:r w:rsidRPr="00B0114F">
        <w:rPr>
          <w:rFonts w:cstheme="minorHAnsi"/>
        </w:rPr>
        <w:t xml:space="preserve"> </w:t>
      </w:r>
      <w:r w:rsidRPr="001674F2">
        <w:rPr>
          <w:rFonts w:eastAsia="Times New Roman" w:cstheme="minorHAnsi"/>
          <w:kern w:val="0"/>
          <w:lang w:eastAsia="de-DE"/>
          <w14:ligatures w14:val="none"/>
        </w:rPr>
        <w:t>Die Begründung liegt in der in Kap</w:t>
      </w:r>
      <w:r w:rsidR="0038404B">
        <w:rPr>
          <w:rFonts w:eastAsia="Times New Roman" w:cstheme="minorHAnsi"/>
          <w:kern w:val="0"/>
          <w:lang w:eastAsia="de-DE"/>
          <w14:ligatures w14:val="none"/>
        </w:rPr>
        <w:t>itel</w:t>
      </w:r>
      <w:r w:rsidRPr="001674F2">
        <w:rPr>
          <w:rFonts w:eastAsia="Times New Roman" w:cstheme="minorHAnsi"/>
          <w:kern w:val="0"/>
          <w:lang w:eastAsia="de-DE"/>
          <w14:ligatures w14:val="none"/>
        </w:rPr>
        <w:t xml:space="preserve"> 3.2.3 beschriebenen Verschärfung des Staatsangehörigenrechts</w:t>
      </w:r>
      <w:r w:rsidR="009519EB" w:rsidRPr="001674F2">
        <w:rPr>
          <w:rFonts w:eastAsia="Times New Roman" w:cstheme="minorHAnsi"/>
          <w:kern w:val="0"/>
          <w:lang w:eastAsia="de-DE"/>
          <w14:ligatures w14:val="none"/>
        </w:rPr>
        <w:t>,</w:t>
      </w:r>
      <w:r w:rsidR="008D6417" w:rsidRPr="001674F2">
        <w:rPr>
          <w:rFonts w:eastAsia="Times New Roman" w:cstheme="minorHAnsi"/>
          <w:kern w:val="0"/>
          <w:lang w:eastAsia="de-DE"/>
          <w14:ligatures w14:val="none"/>
        </w:rPr>
        <w:t xml:space="preserve"> das </w:t>
      </w:r>
      <w:r w:rsidRPr="001674F2">
        <w:rPr>
          <w:rFonts w:eastAsia="Times New Roman" w:cstheme="minorHAnsi"/>
          <w:kern w:val="0"/>
          <w:lang w:eastAsia="de-DE"/>
          <w14:ligatures w14:val="none"/>
        </w:rPr>
        <w:t>nicht rückwirkend angewendet werden kann.</w:t>
      </w:r>
      <w:r>
        <w:rPr>
          <w:rFonts w:ascii="Calibri Light" w:eastAsia="Times New Roman" w:hAnsi="Calibri Light" w:cs="Calibri Light"/>
          <w:kern w:val="0"/>
          <w:lang w:eastAsia="de-DE"/>
          <w14:ligatures w14:val="none"/>
        </w:rPr>
        <w:t xml:space="preserve"> </w:t>
      </w:r>
    </w:p>
  </w:footnote>
  <w:footnote w:id="7">
    <w:p w14:paraId="4B7AD7FF" w14:textId="621C868E" w:rsidR="00C525A9" w:rsidRPr="00C525A9" w:rsidRDefault="00C525A9" w:rsidP="00C525A9">
      <w:pPr>
        <w:pStyle w:val="Funotentext"/>
      </w:pPr>
      <w:r>
        <w:rPr>
          <w:rStyle w:val="Funotenzeichen"/>
        </w:rPr>
        <w:footnoteRef/>
      </w:r>
      <w:r>
        <w:t xml:space="preserve"> Die Beschreibung orientiert sich an einem leicht abgeänderten aber tatsächlich zugetragenen Sachverhalt. Die höchstrichterliche Beurteilung dazu ist derzeit noch ausstehend.</w:t>
      </w:r>
    </w:p>
  </w:footnote>
  <w:footnote w:id="8">
    <w:p w14:paraId="2F4835A6" w14:textId="449861F5" w:rsidR="003C268C" w:rsidRPr="001674F2" w:rsidRDefault="003C268C" w:rsidP="003C268C">
      <w:pPr>
        <w:pStyle w:val="Funotentext"/>
        <w:rPr>
          <w:rFonts w:ascii="Calibri" w:hAnsi="Calibri" w:cs="Calibri"/>
        </w:rPr>
      </w:pPr>
      <w:r w:rsidRPr="001674F2">
        <w:rPr>
          <w:rStyle w:val="Funotenzeichen"/>
          <w:rFonts w:ascii="Calibri" w:hAnsi="Calibri" w:cs="Calibri"/>
        </w:rPr>
        <w:footnoteRef/>
      </w:r>
      <w:r w:rsidRPr="001674F2">
        <w:rPr>
          <w:rFonts w:ascii="Calibri" w:hAnsi="Calibri" w:cs="Calibri"/>
        </w:rPr>
        <w:t xml:space="preserve"> Die Praxis des Entzugs des Bürgerrechts in den Jahren 1940–1947 wurde von Schwallbach (2016) umfassend aufgebarbeitet. Die Autorin zählt 23 Fälle des Entzugs des Bürgerrechts bei Doppelbürger:innen. 51 Fälle erfolgten in Anwendung des Beschlusses von 1943. In </w:t>
      </w:r>
      <w:r w:rsidR="006062EC" w:rsidRPr="001674F2">
        <w:rPr>
          <w:rFonts w:ascii="Calibri" w:hAnsi="Calibri" w:cs="Calibri"/>
        </w:rPr>
        <w:t xml:space="preserve">zehn </w:t>
      </w:r>
      <w:r w:rsidRPr="001674F2">
        <w:rPr>
          <w:rFonts w:ascii="Calibri" w:hAnsi="Calibri" w:cs="Calibri"/>
        </w:rPr>
        <w:t xml:space="preserve">Fällen wurden die Ehefrauen und in </w:t>
      </w:r>
      <w:r w:rsidR="006062EC" w:rsidRPr="001674F2">
        <w:rPr>
          <w:rFonts w:ascii="Calibri" w:hAnsi="Calibri" w:cs="Calibri"/>
        </w:rPr>
        <w:t xml:space="preserve">drei </w:t>
      </w:r>
      <w:r w:rsidRPr="001674F2">
        <w:rPr>
          <w:rFonts w:ascii="Calibri" w:hAnsi="Calibri" w:cs="Calibri"/>
        </w:rPr>
        <w:t>Fällen minderjährige Kinder der Betroffenen in den Ausschluss einbezogen. Nach 1947 sind keine Fälle des Bürgerrechtsentzugs bekannt. Siehe die Kasuistik in Schwallbach 2016: 129 ff.</w:t>
      </w:r>
    </w:p>
  </w:footnote>
  <w:footnote w:id="9">
    <w:p w14:paraId="003EF321" w14:textId="77777777" w:rsidR="003C268C" w:rsidRPr="00043FBB" w:rsidRDefault="003C268C" w:rsidP="003C268C">
      <w:pPr>
        <w:pStyle w:val="Funotentext"/>
        <w:rPr>
          <w:rFonts w:cstheme="minorHAnsi"/>
        </w:rPr>
      </w:pPr>
      <w:r w:rsidRPr="00043FBB">
        <w:rPr>
          <w:rStyle w:val="Funotenzeichen"/>
          <w:rFonts w:cstheme="minorHAnsi"/>
        </w:rPr>
        <w:footnoteRef/>
      </w:r>
      <w:r w:rsidRPr="00043FBB">
        <w:rPr>
          <w:rFonts w:cstheme="minorHAnsi"/>
        </w:rPr>
        <w:t xml:space="preserve"> </w:t>
      </w:r>
      <w:r w:rsidRPr="001674F2">
        <w:rPr>
          <w:rFonts w:cstheme="minorHAnsi"/>
        </w:rPr>
        <w:t>Zur Funktionsweise, Erwerb und Verlust des Schweizer Bürgerrechts siehe Biaggini et al. 2012: 450 ff.</w:t>
      </w:r>
      <w:r w:rsidRPr="00043FBB">
        <w:rPr>
          <w:rFonts w:cstheme="minorHAnsi"/>
        </w:rPr>
        <w:t xml:space="preserve"> </w:t>
      </w:r>
    </w:p>
  </w:footnote>
  <w:footnote w:id="10">
    <w:p w14:paraId="0A01F9F4" w14:textId="77777777" w:rsidR="003C268C" w:rsidRPr="00043FBB" w:rsidRDefault="003C268C" w:rsidP="003C268C">
      <w:pPr>
        <w:pStyle w:val="Funotentext"/>
        <w:rPr>
          <w:rFonts w:cstheme="minorHAnsi"/>
        </w:rPr>
      </w:pPr>
      <w:r w:rsidRPr="00043FBB">
        <w:rPr>
          <w:rStyle w:val="Funotenzeichen"/>
          <w:rFonts w:cstheme="minorHAnsi"/>
        </w:rPr>
        <w:footnoteRef/>
      </w:r>
      <w:r w:rsidRPr="00043FBB">
        <w:rPr>
          <w:rFonts w:cstheme="minorHAnsi"/>
        </w:rPr>
        <w:t xml:space="preserve"> </w:t>
      </w:r>
      <w:r w:rsidRPr="001674F2">
        <w:rPr>
          <w:rFonts w:cstheme="minorHAnsi"/>
        </w:rPr>
        <w:t xml:space="preserve">Weiter stellt sich in Bezug auf Terrorismus, Extremismus und Grundrechtsschutz die Frage des Grundrechtsmissbrauchs nach Art. 17 EMRK. Die Norm dient der </w:t>
      </w:r>
      <w:r w:rsidRPr="001674F2">
        <w:rPr>
          <w:rFonts w:cstheme="minorHAnsi"/>
          <w:i/>
          <w:iCs/>
        </w:rPr>
        <w:t>wehrhaften Demokratie</w:t>
      </w:r>
      <w:r w:rsidRPr="001674F2">
        <w:rPr>
          <w:rFonts w:cstheme="minorHAnsi"/>
        </w:rPr>
        <w:t xml:space="preserve"> und schützt die Grundrechtsgarantien davor, durch deren Gegner – Individuen oder Staaten – missbraucht zu werden. Dazu Schädler 2014: 176 ff.</w:t>
      </w:r>
    </w:p>
  </w:footnote>
  <w:footnote w:id="11">
    <w:p w14:paraId="08DECBA1" w14:textId="77777777" w:rsidR="003C268C" w:rsidRDefault="003C268C" w:rsidP="003C268C">
      <w:pPr>
        <w:pStyle w:val="Funotentext"/>
      </w:pPr>
      <w:r w:rsidRPr="00043FBB">
        <w:rPr>
          <w:rStyle w:val="Funotenzeichen"/>
          <w:rFonts w:cstheme="minorHAnsi"/>
        </w:rPr>
        <w:footnoteRef/>
      </w:r>
      <w:r w:rsidRPr="00043FBB">
        <w:rPr>
          <w:rFonts w:cstheme="minorHAnsi"/>
        </w:rPr>
        <w:t xml:space="preserve"> </w:t>
      </w:r>
      <w:r w:rsidRPr="001674F2">
        <w:rPr>
          <w:rFonts w:cstheme="minorHAnsi"/>
        </w:rPr>
        <w:t>Grundlegend und mit Fallbeispielen zur EMRK und den UN-Menschenrechtspakten Biaggini et al. 2012: 484 ff.</w:t>
      </w:r>
    </w:p>
  </w:footnote>
  <w:footnote w:id="12">
    <w:p w14:paraId="66369400" w14:textId="77777777" w:rsidR="003C268C" w:rsidRPr="001674F2" w:rsidRDefault="003C268C" w:rsidP="003C268C">
      <w:pPr>
        <w:pStyle w:val="Funotentext"/>
        <w:rPr>
          <w:rFonts w:cstheme="minorHAnsi"/>
        </w:rPr>
      </w:pPr>
      <w:r w:rsidRPr="00C16D01">
        <w:rPr>
          <w:rStyle w:val="Funotenzeichen"/>
          <w:rFonts w:cstheme="minorHAnsi"/>
        </w:rPr>
        <w:footnoteRef/>
      </w:r>
      <w:r w:rsidRPr="00C16D01">
        <w:rPr>
          <w:rFonts w:cstheme="minorHAnsi"/>
        </w:rPr>
        <w:t xml:space="preserve"> </w:t>
      </w:r>
      <w:r w:rsidRPr="001674F2">
        <w:rPr>
          <w:rFonts w:cstheme="minorHAnsi"/>
        </w:rPr>
        <w:t>Grundlegend zur Thematik siehe Herdegen 2023: § 25 N 8; Kälin, Künzli 2019: 634; Biaggini et al. 2012: 452 ff.</w:t>
      </w:r>
    </w:p>
  </w:footnote>
  <w:footnote w:id="13">
    <w:p w14:paraId="56D8C19B" w14:textId="77777777" w:rsidR="003C268C" w:rsidRPr="00C16D01" w:rsidRDefault="003C268C" w:rsidP="003C268C">
      <w:pPr>
        <w:pStyle w:val="Funotentext"/>
        <w:rPr>
          <w:rFonts w:cstheme="minorHAnsi"/>
        </w:rPr>
      </w:pPr>
      <w:r w:rsidRPr="00C16D01">
        <w:rPr>
          <w:rStyle w:val="Funotenzeichen"/>
          <w:rFonts w:cstheme="minorHAnsi"/>
        </w:rPr>
        <w:footnoteRef/>
      </w:r>
      <w:r w:rsidRPr="00C16D01">
        <w:rPr>
          <w:rFonts w:cstheme="minorHAnsi"/>
        </w:rPr>
        <w:t xml:space="preserve"> </w:t>
      </w:r>
      <w:r w:rsidRPr="001674F2">
        <w:rPr>
          <w:rFonts w:cstheme="minorHAnsi"/>
        </w:rPr>
        <w:t>Zum Begriff der Identität nach Art. 8 EMRK siehe Meyer-Ladewig 2023: N 21 ff. zu Art. 8 EMRK; m.w.H. auf die EGMR-Rechtsprechung siehe Kälin, Künzli 2019: 460 f.</w:t>
      </w:r>
    </w:p>
  </w:footnote>
  <w:footnote w:id="14">
    <w:p w14:paraId="5488490C" w14:textId="77777777" w:rsidR="003C268C" w:rsidRPr="00C16D01" w:rsidRDefault="003C268C" w:rsidP="003C268C">
      <w:pPr>
        <w:pStyle w:val="Funotentext"/>
        <w:rPr>
          <w:rFonts w:cstheme="minorHAnsi"/>
        </w:rPr>
      </w:pPr>
      <w:r w:rsidRPr="00C16D01">
        <w:rPr>
          <w:rStyle w:val="Funotenzeichen"/>
          <w:rFonts w:cstheme="minorHAnsi"/>
        </w:rPr>
        <w:footnoteRef/>
      </w:r>
      <w:r w:rsidRPr="00C16D01">
        <w:rPr>
          <w:rFonts w:cstheme="minorHAnsi"/>
        </w:rPr>
        <w:t xml:space="preserve"> </w:t>
      </w:r>
      <w:r w:rsidRPr="001674F2">
        <w:rPr>
          <w:rFonts w:cstheme="minorHAnsi"/>
        </w:rPr>
        <w:t>Ähnliche Regelungen kennt das Europaratsabkommen über die Staatsangehörigkeit EuStAÜ vom 6. November 1997. Weiterführend Achermann 2015: 8 f.; Meyer-Ladewig 2023: N 1 ff. zu Art. 14 EMRK.</w:t>
      </w:r>
    </w:p>
  </w:footnote>
  <w:footnote w:id="15">
    <w:p w14:paraId="0B67473A" w14:textId="24F2CBBF" w:rsidR="003C268C" w:rsidRDefault="003C268C" w:rsidP="003C268C">
      <w:pPr>
        <w:pStyle w:val="Funotentext"/>
      </w:pPr>
      <w:r w:rsidRPr="00C16D01">
        <w:rPr>
          <w:rStyle w:val="Funotenzeichen"/>
          <w:rFonts w:cstheme="minorHAnsi"/>
        </w:rPr>
        <w:footnoteRef/>
      </w:r>
      <w:r w:rsidRPr="00C16D01">
        <w:rPr>
          <w:rFonts w:cstheme="minorHAnsi"/>
        </w:rPr>
        <w:t xml:space="preserve"> </w:t>
      </w:r>
      <w:r w:rsidRPr="001674F2">
        <w:rPr>
          <w:rFonts w:cstheme="minorHAnsi"/>
        </w:rPr>
        <w:t>Vergleiche aber Motion 19.3305, Jean-Luc Addor, Entzug des Schweizer Bürgerrechts nicht nur für Dschihadist</w:t>
      </w:r>
      <w:r w:rsidR="00F10B72">
        <w:rPr>
          <w:rFonts w:cstheme="minorHAnsi"/>
        </w:rPr>
        <w:t>:inn</w:t>
      </w:r>
      <w:r w:rsidRPr="001674F2">
        <w:rPr>
          <w:rFonts w:cstheme="minorHAnsi"/>
        </w:rPr>
        <w:t>en mit doppelter Staatsbürgerschaft. Der parlamentarische Vorsto</w:t>
      </w:r>
      <w:r w:rsidR="00FC6E5A">
        <w:rPr>
          <w:rFonts w:cstheme="minorHAnsi"/>
        </w:rPr>
        <w:t>ß</w:t>
      </w:r>
      <w:r w:rsidRPr="001674F2">
        <w:rPr>
          <w:rFonts w:cstheme="minorHAnsi"/>
        </w:rPr>
        <w:t xml:space="preserve"> verlangte den Bürgerrechtsentzug in Fällen. Die Motion wurde im Schweizer Nationalrat abgelehnt. Sie steht in einem fundamental</w:t>
      </w:r>
      <w:r w:rsidR="00786D85" w:rsidRPr="001674F2">
        <w:rPr>
          <w:rFonts w:cstheme="minorHAnsi"/>
        </w:rPr>
        <w:t>en</w:t>
      </w:r>
      <w:r w:rsidRPr="001674F2">
        <w:rPr>
          <w:rFonts w:cstheme="minorHAnsi"/>
        </w:rPr>
        <w:t xml:space="preserve"> Widerspruch zum Völkergewohnheitsrecht. Siehe dazu </w:t>
      </w:r>
      <w:r w:rsidRPr="001674F2">
        <w:rPr>
          <w:rFonts w:eastAsia="Times New Roman" w:cstheme="minorHAnsi"/>
          <w:kern w:val="0"/>
          <w:lang w:eastAsia="de-DE"/>
          <w14:ligatures w14:val="none"/>
        </w:rPr>
        <w:t>Fritzsche et al. in: NZZ 2024.</w:t>
      </w:r>
    </w:p>
  </w:footnote>
  <w:footnote w:id="16">
    <w:p w14:paraId="142424D6" w14:textId="77777777" w:rsidR="003C268C" w:rsidRPr="003B23B1" w:rsidRDefault="003C268C" w:rsidP="003C268C">
      <w:pPr>
        <w:pStyle w:val="Funotentext"/>
        <w:rPr>
          <w:rFonts w:cstheme="minorHAnsi"/>
        </w:rPr>
      </w:pPr>
      <w:r w:rsidRPr="003B23B1">
        <w:rPr>
          <w:rStyle w:val="Funotenzeichen"/>
          <w:rFonts w:cstheme="minorHAnsi"/>
        </w:rPr>
        <w:footnoteRef/>
      </w:r>
      <w:r w:rsidRPr="003B23B1">
        <w:rPr>
          <w:rFonts w:cstheme="minorHAnsi"/>
        </w:rPr>
        <w:t xml:space="preserve"> </w:t>
      </w:r>
      <w:r w:rsidRPr="001674F2">
        <w:rPr>
          <w:rFonts w:cstheme="minorHAnsi"/>
        </w:rPr>
        <w:t>Mit diesem Begriff beschäftigte</w:t>
      </w:r>
      <w:r w:rsidRPr="003B23B1">
        <w:rPr>
          <w:rFonts w:cstheme="minorHAnsi"/>
        </w:rPr>
        <w:t xml:space="preserve"> </w:t>
      </w:r>
      <w:r w:rsidRPr="001674F2">
        <w:rPr>
          <w:rFonts w:cstheme="minorHAnsi"/>
        </w:rPr>
        <w:t>sich auch das Schweizer Bundesverwaltungsgericht in BVGer F-5427/2019 vom 31. Mai 2021 E. 20.2 und stellte fest, dass der Betroffene durch seine Handlungen das Vertrauensverhältnis, die Loyalität und die Solidarität gegenüber der Schweiz in Frage gestellt und von sich aus die besondere Verbindung der Staatsangehörigkeit zerstört habe (vgl. Achermann 2015: 22; Fritzsche et al. in: NZZ 2024; von Rütte, Kurt 2016).</w:t>
      </w:r>
    </w:p>
  </w:footnote>
  <w:footnote w:id="17">
    <w:p w14:paraId="49A5D206" w14:textId="77777777" w:rsidR="003C268C" w:rsidRPr="001674F2" w:rsidRDefault="003C268C" w:rsidP="003C268C">
      <w:pPr>
        <w:pStyle w:val="Funotentext"/>
        <w:rPr>
          <w:rFonts w:ascii="Calibri" w:hAnsi="Calibri" w:cs="Calibri"/>
        </w:rPr>
      </w:pPr>
      <w:r w:rsidRPr="001674F2">
        <w:rPr>
          <w:rStyle w:val="Funotenzeichen"/>
          <w:rFonts w:ascii="Calibri" w:hAnsi="Calibri" w:cs="Calibri"/>
        </w:rPr>
        <w:footnoteRef/>
      </w:r>
      <w:r w:rsidRPr="001674F2">
        <w:rPr>
          <w:rFonts w:ascii="Calibri" w:hAnsi="Calibri" w:cs="Calibri"/>
        </w:rPr>
        <w:t xml:space="preserve"> Grundlegend zur Problematik Meyer-Ladewig 2023: N 11 ff. zu Art. 14 EMRK.</w:t>
      </w:r>
    </w:p>
  </w:footnote>
  <w:footnote w:id="18">
    <w:p w14:paraId="7977176D" w14:textId="77777777" w:rsidR="003C268C" w:rsidRPr="001674F2" w:rsidRDefault="003C268C" w:rsidP="003C268C">
      <w:pPr>
        <w:pStyle w:val="Funotentext"/>
        <w:rPr>
          <w:rFonts w:ascii="Calibri" w:hAnsi="Calibri" w:cs="Calibri"/>
        </w:rPr>
      </w:pPr>
      <w:r w:rsidRPr="001674F2">
        <w:rPr>
          <w:rStyle w:val="Funotenzeichen"/>
          <w:rFonts w:ascii="Calibri" w:hAnsi="Calibri" w:cs="Calibri"/>
        </w:rPr>
        <w:footnoteRef/>
      </w:r>
      <w:r w:rsidRPr="001674F2">
        <w:rPr>
          <w:rFonts w:ascii="Calibri" w:hAnsi="Calibri" w:cs="Calibri"/>
        </w:rPr>
        <w:t xml:space="preserve"> Von Rütte (vgl. 2023: 36) unterstreicht zudem richtigerweise, dass der Kampf gegen extremistische und/oder radikalisierte Straftäter:innen mit der Ausbürgerung vom Straf- und Sicherheitsrecht ins Verwaltungs- und Migrationsrecht verschoben werde. Dies ist aus rechtsstaatlicher Sicht heikel: So werden längerfristig bestehende Ungleichheiten und Marginalisierungen bestimmter Minderheiten im öffentlichen Recht in Kauf genommen.</w:t>
      </w:r>
    </w:p>
  </w:footnote>
  <w:footnote w:id="19">
    <w:p w14:paraId="68CABC56" w14:textId="77777777" w:rsidR="003C268C" w:rsidRPr="001674F2" w:rsidRDefault="003C268C" w:rsidP="003C268C">
      <w:pPr>
        <w:pStyle w:val="Funotentext"/>
        <w:rPr>
          <w:rFonts w:ascii="Calibri" w:hAnsi="Calibri" w:cs="Calibri"/>
        </w:rPr>
      </w:pPr>
      <w:r w:rsidRPr="001674F2">
        <w:rPr>
          <w:rStyle w:val="Funotenzeichen"/>
          <w:rFonts w:ascii="Calibri" w:hAnsi="Calibri" w:cs="Calibri"/>
        </w:rPr>
        <w:footnoteRef/>
      </w:r>
      <w:r w:rsidRPr="001674F2">
        <w:rPr>
          <w:rFonts w:ascii="Calibri" w:hAnsi="Calibri" w:cs="Calibri"/>
        </w:rPr>
        <w:t xml:space="preserve"> Zum Entzug der Staatsangehörigkeit im Lichte vom Art. 8 EMRK Meyer-Ladewig 2023: N 51 sowie N 56 ff. zu Art. 8 EMRK.</w:t>
      </w:r>
    </w:p>
  </w:footnote>
  <w:footnote w:id="20">
    <w:p w14:paraId="44A8264E" w14:textId="6B6C82BD" w:rsidR="003C268C" w:rsidRPr="00845C67" w:rsidRDefault="003C268C" w:rsidP="003C268C">
      <w:pPr>
        <w:pStyle w:val="Funotentext"/>
        <w:rPr>
          <w:rFonts w:cstheme="minorHAnsi"/>
        </w:rPr>
      </w:pPr>
      <w:r w:rsidRPr="00845C67">
        <w:rPr>
          <w:rStyle w:val="Funotenzeichen"/>
          <w:rFonts w:cstheme="minorHAnsi"/>
        </w:rPr>
        <w:footnoteRef/>
      </w:r>
      <w:r w:rsidRPr="00845C67">
        <w:rPr>
          <w:rFonts w:cstheme="minorHAnsi"/>
        </w:rPr>
        <w:t xml:space="preserve"> </w:t>
      </w:r>
      <w:r w:rsidRPr="001674F2">
        <w:rPr>
          <w:rFonts w:cstheme="minorHAnsi"/>
        </w:rPr>
        <w:t>Teilweise wird sogar argumentiert, der Bürgerrechtsentzug sei aus menschenrechtlicher Sicht grundsätzlich fraglich und etwa bei einer in der Schweiz geborenen Person nie verhältnismässig (vgl. von Rütte 2023: 35). Auch Jikhareva (vgl. in: WOZ 2019) und McMillan (vgl. o.</w:t>
      </w:r>
      <w:r w:rsidR="00B24763">
        <w:rPr>
          <w:rFonts w:cstheme="minorHAnsi"/>
        </w:rPr>
        <w:t xml:space="preserve"> </w:t>
      </w:r>
      <w:r w:rsidRPr="001674F2">
        <w:rPr>
          <w:rFonts w:cstheme="minorHAnsi"/>
        </w:rPr>
        <w:t>J.) stellen Ausbürgerungen als legitimes staatliches Instrument im Kern in Frage. Sie weisen korrekt darauf hin, dass während des Nationalsozialismus der Bürgerrechtsentzug dazu missbraucht wurde, tausenden von Jüd:innen die Pässe zu entziehen. Ähnliche Methoden wandten auch die DDR und die Sowjetunion an, um sich in Ungnade gefallener Staatsbürger:innen zu entledigen.</w:t>
      </w:r>
    </w:p>
  </w:footnote>
  <w:footnote w:id="21">
    <w:p w14:paraId="01D249DE" w14:textId="77777777" w:rsidR="003C268C" w:rsidRDefault="003C268C" w:rsidP="003C268C">
      <w:pPr>
        <w:pStyle w:val="Funotentext"/>
      </w:pPr>
      <w:r w:rsidRPr="00845C67">
        <w:rPr>
          <w:rStyle w:val="Funotenzeichen"/>
          <w:rFonts w:cstheme="minorHAnsi"/>
        </w:rPr>
        <w:footnoteRef/>
      </w:r>
      <w:r w:rsidRPr="00845C67">
        <w:rPr>
          <w:rFonts w:cstheme="minorHAnsi"/>
        </w:rPr>
        <w:t xml:space="preserve"> </w:t>
      </w:r>
      <w:r w:rsidRPr="001674F2">
        <w:rPr>
          <w:rFonts w:cstheme="minorHAnsi"/>
        </w:rPr>
        <w:t>Zum Begriff des Refoulements-Verbots und dessen Ausgestaltung siehe Stein et al. 2017: S. 222 f.</w:t>
      </w:r>
    </w:p>
  </w:footnote>
  <w:footnote w:id="22">
    <w:p w14:paraId="7B6880B8" w14:textId="56E50E87" w:rsidR="003C268C" w:rsidRPr="001A2295" w:rsidRDefault="003C268C" w:rsidP="003C268C">
      <w:pPr>
        <w:pStyle w:val="Funotentext"/>
        <w:rPr>
          <w:rFonts w:cstheme="minorHAnsi"/>
        </w:rPr>
      </w:pPr>
      <w:r w:rsidRPr="001A2295">
        <w:rPr>
          <w:rStyle w:val="Funotenzeichen"/>
          <w:rFonts w:cstheme="minorHAnsi"/>
        </w:rPr>
        <w:footnoteRef/>
      </w:r>
      <w:r w:rsidRPr="001A2295">
        <w:rPr>
          <w:rFonts w:cstheme="minorHAnsi"/>
        </w:rPr>
        <w:t xml:space="preserve"> </w:t>
      </w:r>
      <w:r w:rsidRPr="001674F2">
        <w:rPr>
          <w:rFonts w:cstheme="minorHAnsi"/>
        </w:rPr>
        <w:t xml:space="preserve">So stellen sich komplizierte Fragestellungen, wenn auch der Zweitstaat – etwa das Vereinigte Königreich – von den Verbrechen ihres britischen Staatsbürgers erfährt und einer Ausbürgerung durch die Schweizer Behörden zuvorkommt. Eine Staatenlosigkeit nach einer </w:t>
      </w:r>
      <w:r w:rsidR="0052089E">
        <w:t>„</w:t>
      </w:r>
      <w:r w:rsidRPr="001674F2">
        <w:rPr>
          <w:rFonts w:cstheme="minorHAnsi"/>
        </w:rPr>
        <w:t>zweiten</w:t>
      </w:r>
      <w:r w:rsidR="003447BD">
        <w:t>“</w:t>
      </w:r>
      <w:r w:rsidRPr="001674F2">
        <w:rPr>
          <w:rFonts w:cstheme="minorHAnsi"/>
        </w:rPr>
        <w:t xml:space="preserve"> Ausbürgerung durch die Schweiz wäre unzulässig und der Schweiz </w:t>
      </w:r>
      <w:r w:rsidR="003447BD">
        <w:rPr>
          <w:rFonts w:cstheme="minorHAnsi"/>
        </w:rPr>
        <w:t xml:space="preserve">wären </w:t>
      </w:r>
      <w:r w:rsidRPr="001674F2">
        <w:rPr>
          <w:rFonts w:cstheme="minorHAnsi"/>
        </w:rPr>
        <w:t>die Hände gebunden (vgl. Merz, von Rütte in Uebersax et al. 2022: N. 22.99; Glaus et al. in: SRF 2020). Die Schweiz hätte es dann plötzlich ausschliesslich mit einem Schweizer Bürger zu tun.</w:t>
      </w:r>
      <w:r w:rsidRPr="001A2295">
        <w:rPr>
          <w:rFonts w:cstheme="minorHAnsi"/>
        </w:rPr>
        <w:t xml:space="preserve"> </w:t>
      </w:r>
    </w:p>
  </w:footnote>
  <w:footnote w:id="23">
    <w:p w14:paraId="731F0017" w14:textId="77777777" w:rsidR="003C268C" w:rsidRDefault="003C268C" w:rsidP="003C268C">
      <w:pPr>
        <w:pStyle w:val="Funotentext"/>
      </w:pPr>
      <w:r w:rsidRPr="001A2295">
        <w:rPr>
          <w:rStyle w:val="Funotenzeichen"/>
          <w:rFonts w:cstheme="minorHAnsi"/>
        </w:rPr>
        <w:footnoteRef/>
      </w:r>
      <w:r w:rsidRPr="001A2295">
        <w:rPr>
          <w:rFonts w:cstheme="minorHAnsi"/>
        </w:rPr>
        <w:t xml:space="preserve"> </w:t>
      </w:r>
      <w:r w:rsidRPr="001674F2">
        <w:rPr>
          <w:rFonts w:cstheme="minorHAnsi"/>
        </w:rPr>
        <w:t>Es sind zahlreiche Konstellationen und realitätsnahe Beispiele mit vergleichbarer juristischer Brisanz denkbar. Sie betreffen Einreiseverbote für Schweizer Kämpfer:innen im Ausland, Auslieferungen von Straftäter:innen nach verbüsster jahrelanger Haftstrafe oder Anwendungs- und Auslegungsfragen von EMRK-Garantien (vgl. Achermann 2015: 21; Glaus et al. in: SRF 2020; Glaus, Reinhard in: SRF 2021).</w:t>
      </w:r>
    </w:p>
  </w:footnote>
  <w:footnote w:id="24">
    <w:p w14:paraId="07535CAF" w14:textId="4FD130AF" w:rsidR="003C268C" w:rsidRPr="00000AB1" w:rsidRDefault="003C268C" w:rsidP="003C268C">
      <w:pPr>
        <w:pStyle w:val="Funotentext"/>
        <w:rPr>
          <w:rFonts w:cstheme="minorHAnsi"/>
        </w:rPr>
      </w:pPr>
      <w:r w:rsidRPr="00000AB1">
        <w:rPr>
          <w:rStyle w:val="Funotenzeichen"/>
          <w:rFonts w:cstheme="minorHAnsi"/>
        </w:rPr>
        <w:footnoteRef/>
      </w:r>
      <w:r w:rsidRPr="00000AB1">
        <w:rPr>
          <w:rFonts w:cstheme="minorHAnsi"/>
        </w:rPr>
        <w:t xml:space="preserve"> </w:t>
      </w:r>
      <w:r w:rsidRPr="001674F2">
        <w:rPr>
          <w:rFonts w:cstheme="minorHAnsi"/>
        </w:rPr>
        <w:t>Weiterführend zu</w:t>
      </w:r>
      <w:r w:rsidR="00A25011">
        <w:rPr>
          <w:rFonts w:cstheme="minorHAnsi"/>
        </w:rPr>
        <w:t>r</w:t>
      </w:r>
      <w:r w:rsidRPr="001674F2">
        <w:rPr>
          <w:rFonts w:cstheme="minorHAnsi"/>
        </w:rPr>
        <w:t xml:space="preserve"> Thematik</w:t>
      </w:r>
      <w:r w:rsidR="00A25011">
        <w:rPr>
          <w:rFonts w:cstheme="minorHAnsi"/>
        </w:rPr>
        <w:t>:</w:t>
      </w:r>
      <w:r w:rsidRPr="001674F2">
        <w:rPr>
          <w:rFonts w:cstheme="minorHAnsi"/>
        </w:rPr>
        <w:t xml:space="preserve"> Grabenwarter, Pabel 2021: 356 ff., insbesondere zur Ausweisung von Straftäter:innen 358 ff. und zur Konstellation von Ausländer:innen der zweiten Generation 359 f.</w:t>
      </w:r>
    </w:p>
  </w:footnote>
  <w:footnote w:id="25">
    <w:p w14:paraId="24174F76" w14:textId="77777777" w:rsidR="003C268C" w:rsidRPr="00000AB1" w:rsidRDefault="003C268C" w:rsidP="003C268C">
      <w:pPr>
        <w:pStyle w:val="Funotentext"/>
        <w:rPr>
          <w:rFonts w:cstheme="minorHAnsi"/>
        </w:rPr>
      </w:pPr>
      <w:r w:rsidRPr="00000AB1">
        <w:rPr>
          <w:rStyle w:val="Funotenzeichen"/>
          <w:rFonts w:cstheme="minorHAnsi"/>
        </w:rPr>
        <w:footnoteRef/>
      </w:r>
      <w:r w:rsidRPr="00000AB1">
        <w:rPr>
          <w:rFonts w:cstheme="minorHAnsi"/>
        </w:rPr>
        <w:t xml:space="preserve"> </w:t>
      </w:r>
      <w:r w:rsidRPr="001674F2">
        <w:rPr>
          <w:rFonts w:cstheme="minorHAnsi"/>
        </w:rPr>
        <w:t>Auch die Weisungen und Kreisschreiben des SEM kennen keine Prozessbeschreibungen zum Umgang mit Familienangehörigen.</w:t>
      </w:r>
    </w:p>
  </w:footnote>
  <w:footnote w:id="26">
    <w:p w14:paraId="2D5029F3" w14:textId="77777777" w:rsidR="003C268C" w:rsidRDefault="003C268C" w:rsidP="003C268C">
      <w:pPr>
        <w:pStyle w:val="Funotentext"/>
      </w:pPr>
      <w:r w:rsidRPr="00000AB1">
        <w:rPr>
          <w:rStyle w:val="Funotenzeichen"/>
          <w:rFonts w:cstheme="minorHAnsi"/>
        </w:rPr>
        <w:footnoteRef/>
      </w:r>
      <w:r w:rsidRPr="00000AB1">
        <w:rPr>
          <w:rFonts w:cstheme="minorHAnsi"/>
        </w:rPr>
        <w:t xml:space="preserve"> </w:t>
      </w:r>
      <w:r w:rsidRPr="001674F2">
        <w:rPr>
          <w:rFonts w:cstheme="minorHAnsi"/>
        </w:rPr>
        <w:t>Zum Familienbegriff nach Art. 8 EMRK siehe Meyer-Ladewig 2023: N 55 ff. zu Art. 8 EMRK; Kälin, Künzli 2019: 462 ff. und 482 ff.; Grabenwarter, Pabel 2021: 304 ff.</w:t>
      </w:r>
    </w:p>
  </w:footnote>
  <w:footnote w:id="27">
    <w:p w14:paraId="1928D71D" w14:textId="77777777" w:rsidR="00370499" w:rsidRPr="001674F2" w:rsidRDefault="00370499" w:rsidP="00370499">
      <w:pPr>
        <w:pStyle w:val="Funotentext"/>
        <w:rPr>
          <w:rFonts w:ascii="Calibri" w:hAnsi="Calibri" w:cs="Calibri"/>
        </w:rPr>
      </w:pPr>
      <w:r w:rsidRPr="001674F2">
        <w:rPr>
          <w:rStyle w:val="Funotenzeichen"/>
          <w:rFonts w:ascii="Calibri" w:hAnsi="Calibri" w:cs="Calibri"/>
        </w:rPr>
        <w:footnoteRef/>
      </w:r>
      <w:r w:rsidRPr="001674F2">
        <w:rPr>
          <w:rFonts w:ascii="Calibri" w:hAnsi="Calibri" w:cs="Calibri"/>
        </w:rPr>
        <w:t xml:space="preserve"> Eine ausführliche Darlegung der Situation weiblicher Rückkehrerinnen mit Fokus auf den Vergleich unterschiedlicher Vorgehensweisen in europäischen Ländern findet sich in Mehra et al. 2024. </w:t>
      </w:r>
    </w:p>
  </w:footnote>
  <w:footnote w:id="28">
    <w:p w14:paraId="23C306E7" w14:textId="77777777" w:rsidR="003C268C" w:rsidRPr="001674F2" w:rsidRDefault="003C268C" w:rsidP="003C268C">
      <w:pPr>
        <w:pStyle w:val="Funotentext"/>
        <w:rPr>
          <w:rFonts w:ascii="Calibri" w:hAnsi="Calibri" w:cs="Calibri"/>
        </w:rPr>
      </w:pPr>
      <w:r w:rsidRPr="001674F2">
        <w:rPr>
          <w:rStyle w:val="Funotenzeichen"/>
          <w:rFonts w:ascii="Calibri" w:hAnsi="Calibri" w:cs="Calibri"/>
        </w:rPr>
        <w:footnoteRef/>
      </w:r>
      <w:r w:rsidRPr="001674F2">
        <w:rPr>
          <w:rFonts w:ascii="Calibri" w:hAnsi="Calibri" w:cs="Calibri"/>
        </w:rPr>
        <w:t xml:space="preserve"> Die Primärprävention zielt darauf ab, Radikalisierungsprozesse durch die Stärkung der Resilienz und der individuellen Persönlichkeit allgemein zu verhindern, die Sekundärprävention setzt mit spezifischen, thematischen Angeboten ein, wenn erste Anzeichen einer Radikalisierung vorhanden sind und die Tertiärprävention kommt bei weit fortgeschrittenen Radikalisierungsprozessen zum Tragen, um eine weitere Eskalation, insbesondere eine drohende (Wiederholung der) Gewaltanwendung zu verhindern (vgl. Mafaalani et al., 2016: 3 f.)</w:t>
      </w:r>
    </w:p>
  </w:footnote>
  <w:footnote w:id="29">
    <w:p w14:paraId="0BEC8E15" w14:textId="77777777" w:rsidR="003C268C" w:rsidRPr="00922CE3" w:rsidRDefault="003C268C" w:rsidP="003C268C">
      <w:pPr>
        <w:pStyle w:val="Funotentext"/>
        <w:rPr>
          <w:rFonts w:ascii="Calibri Light" w:hAnsi="Calibri Light" w:cs="Calibri Light"/>
        </w:rPr>
      </w:pPr>
      <w:r w:rsidRPr="001674F2">
        <w:rPr>
          <w:rStyle w:val="Funotenzeichen"/>
          <w:rFonts w:ascii="Calibri" w:hAnsi="Calibri" w:cs="Calibri"/>
          <w:color w:val="000000" w:themeColor="text1"/>
        </w:rPr>
        <w:footnoteRef/>
      </w:r>
      <w:r w:rsidRPr="001674F2">
        <w:rPr>
          <w:rFonts w:ascii="Calibri" w:hAnsi="Calibri" w:cs="Calibri"/>
          <w:color w:val="000000" w:themeColor="text1"/>
        </w:rPr>
        <w:t xml:space="preserve"> In Kap. 4.5.3 folgt eine kritische Auseinandersetzung betreffend die Abgrenzung zwischen Straftatprävention und Radikalisierungsprävention.</w:t>
      </w:r>
    </w:p>
  </w:footnote>
  <w:footnote w:id="30">
    <w:p w14:paraId="0D137E05" w14:textId="77777777" w:rsidR="003C268C" w:rsidRPr="001674F2" w:rsidRDefault="003C268C" w:rsidP="003C268C">
      <w:pPr>
        <w:pStyle w:val="Funotentext"/>
        <w:rPr>
          <w:rFonts w:cstheme="minorHAnsi"/>
        </w:rPr>
      </w:pPr>
      <w:r w:rsidRPr="001674F2">
        <w:rPr>
          <w:rStyle w:val="Funotenzeichen"/>
          <w:rFonts w:cstheme="minorHAnsi"/>
        </w:rPr>
        <w:footnoteRef/>
      </w:r>
      <w:r w:rsidRPr="001674F2">
        <w:rPr>
          <w:rFonts w:cstheme="minorHAnsi"/>
        </w:rPr>
        <w:t xml:space="preserve"> An dieser Stelle ist erneut darauf hinzuweisen, dass der Bürgerrechtsentzug nach deutschem Recht nur angewendet werden kann, wenn die Personen nach der Verschärfung des Gesetzes im August 2018 ausgereist sind </w:t>
      </w:r>
      <w:r w:rsidRPr="001674F2">
        <w:rPr>
          <w:rFonts w:eastAsia="Times New Roman" w:cstheme="minorHAnsi"/>
          <w:kern w:val="0"/>
          <w:lang w:eastAsia="de-DE"/>
          <w14:ligatures w14:val="none"/>
        </w:rPr>
        <w:t>(vgl. Bolhuis, van Wijk 2020: 344)</w:t>
      </w:r>
      <w:r w:rsidRPr="001674F2">
        <w:rPr>
          <w:rFonts w:cstheme="minorHAnsi"/>
        </w:rPr>
        <w:t>.</w:t>
      </w:r>
    </w:p>
  </w:footnote>
  <w:footnote w:id="31">
    <w:p w14:paraId="3FD636BF" w14:textId="2C6B3B25" w:rsidR="003C268C" w:rsidRPr="001674F2" w:rsidRDefault="003C268C" w:rsidP="003C268C">
      <w:pPr>
        <w:pStyle w:val="Funotentext"/>
        <w:rPr>
          <w:rFonts w:cstheme="minorHAnsi"/>
        </w:rPr>
      </w:pPr>
      <w:r w:rsidRPr="003F475F">
        <w:rPr>
          <w:rStyle w:val="Funotenzeichen"/>
          <w:rFonts w:cstheme="minorHAnsi"/>
        </w:rPr>
        <w:footnoteRef/>
      </w:r>
      <w:r w:rsidR="003F475F">
        <w:rPr>
          <w:rFonts w:cstheme="minorHAnsi"/>
        </w:rPr>
        <w:t xml:space="preserve"> </w:t>
      </w:r>
      <w:r w:rsidRPr="001674F2">
        <w:rPr>
          <w:rFonts w:cstheme="minorHAnsi"/>
        </w:rPr>
        <w:t>Für eine vertiefte Analyse zur abschreckenden Wirkung von repressiven Maßnahmen des Staates und de</w:t>
      </w:r>
      <w:r w:rsidR="00A16920">
        <w:rPr>
          <w:rFonts w:cstheme="minorHAnsi"/>
        </w:rPr>
        <w:t>r</w:t>
      </w:r>
      <w:r w:rsidRPr="001674F2">
        <w:rPr>
          <w:rFonts w:cstheme="minorHAnsi"/>
        </w:rPr>
        <w:t>en Zusammenhang mit Diskriminierung siehe u.</w:t>
      </w:r>
      <w:r w:rsidR="00A16920">
        <w:rPr>
          <w:rFonts w:cstheme="minorHAnsi"/>
        </w:rPr>
        <w:t xml:space="preserve"> </w:t>
      </w:r>
      <w:r w:rsidRPr="001674F2">
        <w:rPr>
          <w:rFonts w:cstheme="minorHAnsi"/>
        </w:rPr>
        <w:t>a. Marc Sagemann, John Horgan und Robert F. Trager.</w:t>
      </w:r>
    </w:p>
  </w:footnote>
  <w:footnote w:id="32">
    <w:p w14:paraId="17FF0851" w14:textId="3E9C369C" w:rsidR="003C268C" w:rsidRPr="00BA5C60" w:rsidRDefault="003C268C" w:rsidP="003C268C">
      <w:pPr>
        <w:pStyle w:val="Funotentext"/>
        <w:rPr>
          <w:rFonts w:cstheme="minorHAnsi"/>
          <w:lang w:val="de-DE"/>
        </w:rPr>
      </w:pPr>
      <w:r w:rsidRPr="00BA5C60">
        <w:rPr>
          <w:rStyle w:val="Funotenzeichen"/>
          <w:rFonts w:cstheme="minorHAnsi"/>
        </w:rPr>
        <w:footnoteRef/>
      </w:r>
      <w:r w:rsidRPr="00BA5C60">
        <w:rPr>
          <w:rFonts w:cstheme="minorHAnsi"/>
        </w:rPr>
        <w:t xml:space="preserve"> </w:t>
      </w:r>
      <w:r w:rsidRPr="001674F2">
        <w:rPr>
          <w:rFonts w:cstheme="minorHAnsi"/>
        </w:rPr>
        <w:t>Es sei darauf hingewiesen, dass es sich dabei, ausgehend von einem realen Szenario, um ein fiktives Beispiel zur Veranschaulichung der Praxisanwendung handelt. Ein sorgfältiger staatlicher Umgang mit Straftäter:innen wie A.</w:t>
      </w:r>
      <w:r w:rsidR="00BA5C60">
        <w:rPr>
          <w:rFonts w:cstheme="minorHAnsi"/>
        </w:rPr>
        <w:t xml:space="preserve"> </w:t>
      </w:r>
      <w:r w:rsidRPr="001674F2">
        <w:rPr>
          <w:rFonts w:cstheme="minorHAnsi"/>
        </w:rPr>
        <w:t>B. bedingt in der Praxis eine enge und umsichtige Koordination zwischen Akteur:innen der Präventionsarbeit, des Strafvollzugs und der Bewährungshilfe, der Nachrichtendienste und der Polizeiorgane.</w:t>
      </w:r>
    </w:p>
  </w:footnote>
  <w:footnote w:id="33">
    <w:p w14:paraId="774B4A86" w14:textId="77777777" w:rsidR="00A768F4" w:rsidRPr="00FF1BDF" w:rsidRDefault="00A768F4" w:rsidP="00A768F4">
      <w:pPr>
        <w:pStyle w:val="Funotentext"/>
        <w:rPr>
          <w:lang w:val="en-GB"/>
        </w:rPr>
      </w:pPr>
      <w:r>
        <w:rPr>
          <w:rStyle w:val="Funotenzeichen"/>
        </w:rPr>
        <w:footnoteRef/>
      </w:r>
      <w:r w:rsidRPr="00FF1BDF">
        <w:rPr>
          <w:lang w:val="en-GB"/>
        </w:rPr>
        <w:t xml:space="preserve"> Original: </w:t>
      </w:r>
      <w:r w:rsidRPr="00E12CC9">
        <w:rPr>
          <w:rFonts w:cs="Calibri"/>
          <w:color w:val="000000" w:themeColor="text1"/>
          <w:lang w:val="en-GB"/>
        </w:rPr>
        <w:t>„</w:t>
      </w:r>
      <w:r w:rsidRPr="00FF1BDF">
        <w:rPr>
          <w:lang w:val="en-GB"/>
        </w:rPr>
        <w:t>opposition to modernity”</w:t>
      </w:r>
    </w:p>
  </w:footnote>
  <w:footnote w:id="34">
    <w:p w14:paraId="1E76E4E7" w14:textId="77777777" w:rsidR="00A768F4" w:rsidRPr="00E12CC9" w:rsidRDefault="00A768F4" w:rsidP="00A768F4">
      <w:pPr>
        <w:pStyle w:val="Funotentext"/>
        <w:rPr>
          <w:sz w:val="16"/>
          <w:szCs w:val="16"/>
          <w:lang w:val="en-GB"/>
        </w:rPr>
      </w:pPr>
      <w:r>
        <w:rPr>
          <w:rStyle w:val="Funotenzeichen"/>
        </w:rPr>
        <w:footnoteRef/>
      </w:r>
      <w:r w:rsidRPr="00E12CC9">
        <w:rPr>
          <w:lang w:val="en-GB"/>
        </w:rPr>
        <w:t xml:space="preserve"> Original: </w:t>
      </w:r>
      <w:r w:rsidRPr="00E12CC9">
        <w:rPr>
          <w:rFonts w:cs="Calibri"/>
          <w:color w:val="000000" w:themeColor="text1"/>
          <w:lang w:val="en-GB"/>
        </w:rPr>
        <w:t>„More specifically, a movement is fundamentalist if it exemplifies a large number of the following properties: (i) it is reactionary in its rejection of liberal ethics, science, or technological exploitation, (ii) it is modern in seeking certainty and control, embracing literalism and infallibility about particular scriptures, actively using media and technology, or making universal claims, and (iii) it presents a grand historical narrative in terms of paradise, fall, and redemption, or cosmic dualism.”</w:t>
      </w:r>
    </w:p>
  </w:footnote>
  <w:footnote w:id="35">
    <w:p w14:paraId="52382CE3" w14:textId="77777777" w:rsidR="00A768F4" w:rsidRPr="00E12CC9" w:rsidRDefault="00A768F4" w:rsidP="00A768F4">
      <w:pPr>
        <w:pStyle w:val="Funotentext"/>
        <w:rPr>
          <w:lang w:val="en-GB"/>
        </w:rPr>
      </w:pPr>
      <w:r w:rsidRPr="00B24E01">
        <w:rPr>
          <w:rStyle w:val="Funotenzeichen"/>
        </w:rPr>
        <w:footnoteRef/>
      </w:r>
      <w:r w:rsidRPr="00E12CC9">
        <w:rPr>
          <w:lang w:val="en-GB"/>
        </w:rPr>
        <w:t xml:space="preserve"> Original: </w:t>
      </w:r>
      <w:r w:rsidRPr="00E12CC9">
        <w:rPr>
          <w:rFonts w:cs="Calibri"/>
          <w:color w:val="000000" w:themeColor="text1"/>
          <w:lang w:val="en-GB"/>
        </w:rPr>
        <w:t>„</w:t>
      </w:r>
      <w:r w:rsidRPr="00E12CC9">
        <w:rPr>
          <w:rFonts w:cs="Calibri"/>
          <w:lang w:val="en-GB"/>
        </w:rPr>
        <w:t xml:space="preserve">[…] fundamentalism provides security in an </w:t>
      </w:r>
      <w:bookmarkStart w:id="77" w:name="_Hlk213664116"/>
      <w:r w:rsidRPr="00E12CC9">
        <w:rPr>
          <w:rFonts w:cs="Calibri"/>
          <w:lang w:val="en-GB"/>
        </w:rPr>
        <w:t>uncertain</w:t>
      </w:r>
      <w:bookmarkEnd w:id="77"/>
      <w:r w:rsidRPr="00E12CC9">
        <w:rPr>
          <w:rFonts w:cs="Calibri"/>
          <w:lang w:val="en-GB"/>
        </w:rPr>
        <w:t xml:space="preserve"> world”</w:t>
      </w:r>
    </w:p>
  </w:footnote>
  <w:footnote w:id="36">
    <w:p w14:paraId="501ED86E" w14:textId="77777777" w:rsidR="00A768F4" w:rsidRPr="00E12CC9" w:rsidRDefault="00A768F4" w:rsidP="00A768F4">
      <w:pPr>
        <w:pStyle w:val="Funotentext"/>
        <w:rPr>
          <w:lang w:val="en-GB"/>
        </w:rPr>
      </w:pPr>
      <w:r>
        <w:rPr>
          <w:rStyle w:val="Funotenzeichen"/>
        </w:rPr>
        <w:footnoteRef/>
      </w:r>
      <w:r w:rsidRPr="00E12CC9">
        <w:rPr>
          <w:lang w:val="en-GB"/>
        </w:rPr>
        <w:t xml:space="preserve"> Original: </w:t>
      </w:r>
      <w:r w:rsidRPr="00E12CC9">
        <w:rPr>
          <w:rFonts w:cs="Calibri"/>
          <w:szCs w:val="22"/>
          <w:lang w:val="en-GB"/>
        </w:rPr>
        <w:t xml:space="preserve">„Christian nationalism is used to defend against shifts in the culture toward equality for groups that have historically lacked access to the levers of power—women, sexual, racial, ethnic, and religious minorities.”  </w:t>
      </w:r>
    </w:p>
  </w:footnote>
  <w:footnote w:id="37">
    <w:p w14:paraId="4A61D73E" w14:textId="77777777" w:rsidR="00A768F4" w:rsidRPr="00E12CC9" w:rsidRDefault="00A768F4" w:rsidP="00A768F4">
      <w:pPr>
        <w:pStyle w:val="Funotentext"/>
        <w:rPr>
          <w:lang w:val="en-GB"/>
        </w:rPr>
      </w:pPr>
      <w:r>
        <w:rPr>
          <w:rStyle w:val="Funotenzeichen"/>
        </w:rPr>
        <w:footnoteRef/>
      </w:r>
      <w:r w:rsidRPr="00E12CC9">
        <w:rPr>
          <w:lang w:val="en-GB"/>
        </w:rPr>
        <w:t xml:space="preserve"> Original: </w:t>
      </w:r>
      <w:r w:rsidRPr="00E12CC9">
        <w:rPr>
          <w:rFonts w:cs="Calibri"/>
          <w:szCs w:val="22"/>
          <w:lang w:val="en-GB"/>
        </w:rPr>
        <w:t>„</w:t>
      </w:r>
      <w:r w:rsidRPr="00E12CC9">
        <w:rPr>
          <w:lang w:val="en-GB"/>
        </w:rPr>
        <w:t>Christian nationalism is the strongest predictor of holding a more traditionalist gender ideology […]”</w:t>
      </w:r>
    </w:p>
  </w:footnote>
  <w:footnote w:id="38">
    <w:p w14:paraId="268B32DA" w14:textId="77777777" w:rsidR="00A768F4" w:rsidRPr="00E12CC9" w:rsidRDefault="00A768F4" w:rsidP="00A768F4">
      <w:pPr>
        <w:pStyle w:val="StandardWeb"/>
        <w:spacing w:before="0" w:beforeAutospacing="0" w:after="0" w:afterAutospacing="0"/>
        <w:rPr>
          <w:lang w:val="en-GB"/>
        </w:rPr>
      </w:pPr>
      <w:r w:rsidRPr="00D93F69">
        <w:rPr>
          <w:rStyle w:val="Funotenzeichen"/>
          <w:rFonts w:ascii="Calibri" w:eastAsiaTheme="majorEastAsia" w:hAnsi="Calibri" w:cs="Calibri"/>
          <w:sz w:val="20"/>
          <w:szCs w:val="20"/>
        </w:rPr>
        <w:footnoteRef/>
      </w:r>
      <w:r w:rsidRPr="00E12CC9">
        <w:rPr>
          <w:rFonts w:ascii="Calibri" w:hAnsi="Calibri" w:cs="Calibri"/>
          <w:sz w:val="20"/>
          <w:szCs w:val="20"/>
          <w:lang w:val="en-GB"/>
        </w:rPr>
        <w:t xml:space="preserve"> Original: </w:t>
      </w:r>
      <w:r w:rsidRPr="00E12CC9">
        <w:rPr>
          <w:rFonts w:ascii="Calibri" w:hAnsi="Calibri" w:cs="Calibri"/>
          <w:szCs w:val="22"/>
          <w:lang w:val="en-GB"/>
        </w:rPr>
        <w:t>„</w:t>
      </w:r>
      <w:r w:rsidRPr="00E12CC9">
        <w:rPr>
          <w:rFonts w:ascii="Calibri" w:hAnsi="Calibri" w:cs="Calibri"/>
          <w:sz w:val="20"/>
          <w:szCs w:val="20"/>
          <w:lang w:val="en-GB"/>
        </w:rPr>
        <w:t xml:space="preserve">Most fundamentally, these materials […] narrow and reshape history as a narrative of faith with the Bible as the key to understanding it. […] Students are taught to judge whether historical events advanced biblical Christianity. Armed with this ability to judge and with biblical proof texting, they can identify those favored by God.” </w:t>
      </w:r>
    </w:p>
  </w:footnote>
  <w:footnote w:id="39">
    <w:p w14:paraId="452A9A0E" w14:textId="77777777" w:rsidR="00A768F4" w:rsidRPr="00685ED3" w:rsidRDefault="00A768F4" w:rsidP="00A768F4">
      <w:pPr>
        <w:pStyle w:val="Funotentext"/>
        <w:rPr>
          <w:lang w:val="de-DE"/>
        </w:rPr>
      </w:pPr>
      <w:r>
        <w:rPr>
          <w:rStyle w:val="Funotenzeichen"/>
        </w:rPr>
        <w:footnoteRef/>
      </w:r>
      <w:r w:rsidRPr="00685ED3">
        <w:rPr>
          <w:lang w:val="de-DE"/>
        </w:rPr>
        <w:t xml:space="preserve"> In der wissenschaftlichen Auseinandersetzung richtet sich der Fokus zunächst auf die Analyse etablierter rechter Einstellungen und Strömungen sowie insbesondere seit den 1980er Jahren auf die Neue Rechte (Virchow</w:t>
      </w:r>
      <w:r>
        <w:rPr>
          <w:lang w:val="de-DE"/>
        </w:rPr>
        <w:t xml:space="preserve"> 2016</w:t>
      </w:r>
      <w:r w:rsidRPr="00685ED3">
        <w:rPr>
          <w:lang w:val="de-DE"/>
        </w:rPr>
        <w:t>, 7</w:t>
      </w:r>
      <w:r>
        <w:rPr>
          <w:lang w:val="de-DE"/>
        </w:rPr>
        <w:t>-</w:t>
      </w:r>
      <w:r w:rsidRPr="00685ED3">
        <w:rPr>
          <w:lang w:val="de-DE"/>
        </w:rPr>
        <w:t xml:space="preserve">10). </w:t>
      </w:r>
      <w:r w:rsidRPr="007F6A82">
        <w:rPr>
          <w:lang w:val="de-DE"/>
        </w:rPr>
        <w:t>Darüber hinaus werden Phänomene und Ausprägungen des Rechtsextremismus, des Rechtsradikalismus und des Rechtspopulismus in den Blick genommen</w:t>
      </w:r>
      <w:r>
        <w:rPr>
          <w:lang w:val="de-DE"/>
        </w:rPr>
        <w:t xml:space="preserve">. </w:t>
      </w:r>
      <w:r w:rsidRPr="00685ED3">
        <w:rPr>
          <w:lang w:val="de-DE"/>
        </w:rPr>
        <w:t>In diesem Paper werde ich den Begriff </w:t>
      </w:r>
      <w:r w:rsidRPr="00685ED3">
        <w:rPr>
          <w:i/>
          <w:iCs/>
          <w:lang w:val="de-DE"/>
        </w:rPr>
        <w:t>rechts</w:t>
      </w:r>
      <w:r w:rsidRPr="00685ED3">
        <w:rPr>
          <w:lang w:val="de-DE"/>
        </w:rPr>
        <w:t> als einen übergeordneten Sammelbegriff verwenden, der alle Erscheinungsformen rechts des liberalen und konservativen politischen Spektrums umfasst. Darunter können auch extremere Strömungen subsumiert werden.</w:t>
      </w:r>
    </w:p>
  </w:footnote>
  <w:footnote w:id="40">
    <w:p w14:paraId="0E64E228" w14:textId="77777777" w:rsidR="00A768F4" w:rsidRPr="00062E14" w:rsidRDefault="00A768F4" w:rsidP="00A768F4">
      <w:pPr>
        <w:pStyle w:val="Funotentext"/>
        <w:rPr>
          <w:lang w:val="de-DE"/>
        </w:rPr>
      </w:pPr>
      <w:r>
        <w:rPr>
          <w:rStyle w:val="Funotenzeichen"/>
        </w:rPr>
        <w:footnoteRef/>
      </w:r>
      <w:r w:rsidRPr="00062E14">
        <w:rPr>
          <w:lang w:val="de-DE"/>
        </w:rPr>
        <w:t xml:space="preserve"> </w:t>
      </w:r>
      <w:r>
        <w:rPr>
          <w:lang w:val="de-DE"/>
        </w:rPr>
        <w:t>Abkürzungen im weiteren Text eingeführt</w:t>
      </w:r>
    </w:p>
  </w:footnote>
  <w:footnote w:id="41">
    <w:p w14:paraId="4F44CE8E" w14:textId="77777777" w:rsidR="00A768F4" w:rsidRPr="00650912" w:rsidRDefault="00A768F4" w:rsidP="00A768F4">
      <w:pPr>
        <w:pStyle w:val="Funotentext"/>
        <w:rPr>
          <w:lang w:val="de-DE"/>
        </w:rPr>
      </w:pPr>
      <w:r w:rsidRPr="004918FA">
        <w:rPr>
          <w:rStyle w:val="Funotenzeichen"/>
          <w:color w:val="000000" w:themeColor="text1"/>
        </w:rPr>
        <w:footnoteRef/>
      </w:r>
      <w:r w:rsidRPr="004918FA">
        <w:rPr>
          <w:color w:val="000000" w:themeColor="text1"/>
          <w:lang w:val="de-DE"/>
        </w:rPr>
        <w:t xml:space="preserve"> </w:t>
      </w:r>
      <w:hyperlink r:id="rId1" w:history="1">
        <w:r w:rsidRPr="00806B2B">
          <w:rPr>
            <w:rStyle w:val="Hyperlink"/>
            <w:lang w:val="de-DE"/>
          </w:rPr>
          <w:t>https://jmem.de/en/</w:t>
        </w:r>
      </w:hyperlink>
      <w:r>
        <w:rPr>
          <w:color w:val="000000" w:themeColor="text1"/>
          <w:lang w:val="de-DE"/>
        </w:rPr>
        <w:t xml:space="preserve"> </w:t>
      </w:r>
      <w:r w:rsidRPr="004918FA">
        <w:rPr>
          <w:color w:val="000000" w:themeColor="text1"/>
          <w:lang w:val="de-DE"/>
        </w:rPr>
        <w:t>(</w:t>
      </w:r>
      <w:r w:rsidRPr="009E29D6">
        <w:rPr>
          <w:lang w:val="de-DE"/>
        </w:rPr>
        <w:t>abgerufen</w:t>
      </w:r>
      <w:r>
        <w:rPr>
          <w:lang w:val="de-DE"/>
        </w:rPr>
        <w:t>: 10.11.2025)</w:t>
      </w:r>
    </w:p>
  </w:footnote>
  <w:footnote w:id="42">
    <w:p w14:paraId="1DB4F601" w14:textId="77777777" w:rsidR="00A768F4" w:rsidRPr="009E29D6" w:rsidRDefault="00A768F4" w:rsidP="00A768F4">
      <w:pPr>
        <w:pStyle w:val="Funotentext"/>
        <w:rPr>
          <w:color w:val="000000" w:themeColor="text1"/>
          <w:lang w:val="de-DE"/>
        </w:rPr>
      </w:pPr>
      <w:r w:rsidRPr="009E29D6">
        <w:rPr>
          <w:rStyle w:val="Funotenzeichen"/>
        </w:rPr>
        <w:footnoteRef/>
      </w:r>
      <w:r w:rsidRPr="009E29D6">
        <w:rPr>
          <w:lang w:val="de-DE"/>
        </w:rPr>
        <w:t xml:space="preserve"> </w:t>
      </w:r>
      <w:hyperlink r:id="rId2" w:history="1">
        <w:r w:rsidRPr="00806B2B">
          <w:rPr>
            <w:rStyle w:val="Hyperlink"/>
            <w:lang w:val="de-DE"/>
          </w:rPr>
          <w:t>https://www.icf.church/de/</w:t>
        </w:r>
      </w:hyperlink>
      <w:r>
        <w:rPr>
          <w:color w:val="000000" w:themeColor="text1"/>
          <w:lang w:val="de-DE"/>
        </w:rPr>
        <w:t xml:space="preserve"> </w:t>
      </w:r>
      <w:r w:rsidRPr="009E29D6">
        <w:rPr>
          <w:color w:val="000000" w:themeColor="text1"/>
          <w:lang w:val="de-DE"/>
        </w:rPr>
        <w:t>(abgerufen 10.07.2025)</w:t>
      </w:r>
    </w:p>
  </w:footnote>
  <w:footnote w:id="43">
    <w:p w14:paraId="424E44BA" w14:textId="77777777" w:rsidR="00A768F4" w:rsidRPr="0029615A" w:rsidRDefault="00A768F4" w:rsidP="00A768F4">
      <w:pPr>
        <w:pStyle w:val="Funotentext"/>
        <w:rPr>
          <w:lang w:val="de-DE"/>
        </w:rPr>
      </w:pPr>
      <w:r w:rsidRPr="009E29D6">
        <w:rPr>
          <w:rStyle w:val="Funotenzeichen"/>
          <w:color w:val="000000" w:themeColor="text1"/>
        </w:rPr>
        <w:footnoteRef/>
      </w:r>
      <w:r w:rsidRPr="009E29D6">
        <w:rPr>
          <w:color w:val="000000" w:themeColor="text1"/>
          <w:lang w:val="de-DE"/>
        </w:rPr>
        <w:t xml:space="preserve"> </w:t>
      </w:r>
      <w:hyperlink r:id="rId3" w:history="1">
        <w:r w:rsidRPr="00806B2B">
          <w:rPr>
            <w:rStyle w:val="Hyperlink"/>
            <w:lang w:val="de-DE"/>
          </w:rPr>
          <w:t>https://hillsong.com/germany/de/</w:t>
        </w:r>
      </w:hyperlink>
      <w:r>
        <w:rPr>
          <w:color w:val="000000" w:themeColor="text1"/>
          <w:lang w:val="de-DE"/>
        </w:rPr>
        <w:t xml:space="preserve"> </w:t>
      </w:r>
      <w:r w:rsidRPr="009E29D6">
        <w:rPr>
          <w:color w:val="000000" w:themeColor="text1"/>
          <w:lang w:val="de-DE"/>
        </w:rPr>
        <w:t>(abgerufen 10.07.2025)</w:t>
      </w:r>
    </w:p>
  </w:footnote>
  <w:footnote w:id="44">
    <w:p w14:paraId="4FAF6E88" w14:textId="77777777" w:rsidR="00A768F4" w:rsidRPr="008D5752" w:rsidRDefault="00A768F4" w:rsidP="00A768F4">
      <w:pPr>
        <w:pStyle w:val="Funotentext"/>
        <w:rPr>
          <w:lang w:val="de-DE"/>
        </w:rPr>
      </w:pPr>
      <w:r w:rsidRPr="004918FA">
        <w:rPr>
          <w:rStyle w:val="Funotenzeichen"/>
          <w:color w:val="000000" w:themeColor="text1"/>
        </w:rPr>
        <w:footnoteRef/>
      </w:r>
      <w:r w:rsidRPr="004918FA">
        <w:rPr>
          <w:color w:val="000000" w:themeColor="text1"/>
          <w:lang w:val="de-DE"/>
        </w:rPr>
        <w:t xml:space="preserve"> </w:t>
      </w:r>
      <w:hyperlink r:id="rId4" w:history="1">
        <w:r w:rsidRPr="00806B2B">
          <w:rPr>
            <w:rStyle w:val="Hyperlink"/>
            <w:lang w:val="de-DE"/>
          </w:rPr>
          <w:t>https://www.vebs.de/</w:t>
        </w:r>
      </w:hyperlink>
      <w:r>
        <w:rPr>
          <w:color w:val="000000" w:themeColor="text1"/>
          <w:lang w:val="de-DE"/>
        </w:rPr>
        <w:t xml:space="preserve"> </w:t>
      </w:r>
      <w:r w:rsidRPr="004918FA">
        <w:rPr>
          <w:color w:val="000000" w:themeColor="text1"/>
          <w:lang w:val="de-DE"/>
        </w:rPr>
        <w:t>(abgerufen 29.07.2025)</w:t>
      </w:r>
    </w:p>
  </w:footnote>
  <w:footnote w:id="45">
    <w:p w14:paraId="183044E1" w14:textId="77777777" w:rsidR="00A768F4" w:rsidRPr="00E12CC9" w:rsidRDefault="00A768F4" w:rsidP="00A768F4">
      <w:pPr>
        <w:pStyle w:val="Funotentext"/>
        <w:rPr>
          <w:lang w:val="en-GB"/>
        </w:rPr>
      </w:pPr>
      <w:r>
        <w:rPr>
          <w:rStyle w:val="Funotenzeichen"/>
        </w:rPr>
        <w:footnoteRef/>
      </w:r>
      <w:r w:rsidRPr="00E12CC9">
        <w:rPr>
          <w:lang w:val="en-GB"/>
        </w:rPr>
        <w:t xml:space="preserve"> Original:</w:t>
      </w:r>
      <w:r w:rsidRPr="00E12CC9">
        <w:rPr>
          <w:rFonts w:ascii="AdvOT4b47d116" w:eastAsia="Times New Roman" w:hAnsi="AdvOT4b47d116" w:cs="Times New Roman"/>
          <w:kern w:val="0"/>
          <w:lang w:val="en-GB"/>
          <w14:ligatures w14:val="none"/>
        </w:rPr>
        <w:t xml:space="preserve"> </w:t>
      </w:r>
      <w:r w:rsidRPr="00E12CC9">
        <w:rPr>
          <w:rFonts w:cs="Calibri"/>
          <w:szCs w:val="22"/>
          <w:lang w:val="en-GB"/>
        </w:rPr>
        <w:t>„</w:t>
      </w:r>
      <w:r w:rsidRPr="00E12CC9">
        <w:rPr>
          <w:lang w:val="en-GB"/>
        </w:rPr>
        <w:t>Accordingly, young adults should not learn to see themselves as ‘authors’ of their lives, who can choose between a variety of different options, but aspire to fulfil their designated roles.</w:t>
      </w:r>
      <w:r w:rsidRPr="00A64ABC">
        <w:rPr>
          <w:rFonts w:cs="Calibri"/>
          <w:szCs w:val="22"/>
          <w:lang w:val="en-GB"/>
        </w:rPr>
        <w:t>“</w:t>
      </w:r>
    </w:p>
  </w:footnote>
  <w:footnote w:id="46">
    <w:p w14:paraId="0ECF2DAE" w14:textId="77777777" w:rsidR="00A768F4" w:rsidRPr="00E12CC9" w:rsidRDefault="00A768F4" w:rsidP="00A768F4">
      <w:pPr>
        <w:pStyle w:val="Funotentext"/>
        <w:rPr>
          <w:lang w:val="en-GB"/>
        </w:rPr>
      </w:pPr>
      <w:r>
        <w:rPr>
          <w:rStyle w:val="Funotenzeichen"/>
        </w:rPr>
        <w:footnoteRef/>
      </w:r>
      <w:r w:rsidRPr="00E12CC9">
        <w:rPr>
          <w:lang w:val="en-GB"/>
        </w:rPr>
        <w:t xml:space="preserve"> Original: </w:t>
      </w:r>
      <w:r w:rsidRPr="00E12CC9">
        <w:rPr>
          <w:rFonts w:cs="Calibri"/>
          <w:szCs w:val="22"/>
          <w:lang w:val="en-GB"/>
        </w:rPr>
        <w:t>„</w:t>
      </w:r>
      <w:r w:rsidRPr="00E12CC9">
        <w:rPr>
          <w:lang w:val="en-GB"/>
        </w:rPr>
        <w:t>[…] is characteristically (a) willing and (within limits) able (b) to transcend a default cognitive standpoint (c) in order to take up or take seriously the merits of (d) a distinct cognitive standpoint.”</w:t>
      </w:r>
    </w:p>
  </w:footnote>
  <w:footnote w:id="47">
    <w:p w14:paraId="0887FF8D" w14:textId="77777777" w:rsidR="00C05D52" w:rsidRPr="004C1F1C" w:rsidRDefault="00C05D52" w:rsidP="00C05D52">
      <w:pPr>
        <w:pStyle w:val="Textkrper"/>
        <w:spacing w:line="276" w:lineRule="auto"/>
        <w:jc w:val="both"/>
        <w:rPr>
          <w:rFonts w:ascii="Calibri" w:hAnsi="Calibri" w:cs="Calibri"/>
          <w:sz w:val="18"/>
          <w:szCs w:val="18"/>
          <w:lang w:val="de-DE"/>
        </w:rPr>
      </w:pPr>
      <w:r w:rsidRPr="004C1F1C">
        <w:rPr>
          <w:rStyle w:val="Funotenzeichen"/>
          <w:rFonts w:ascii="Calibri" w:hAnsi="Calibri" w:cs="Calibri"/>
          <w:sz w:val="18"/>
          <w:szCs w:val="18"/>
        </w:rPr>
        <w:footnoteRef/>
      </w:r>
      <w:r w:rsidRPr="004C1F1C">
        <w:rPr>
          <w:rStyle w:val="Funotenzeichen"/>
          <w:rFonts w:ascii="Calibri" w:hAnsi="Calibri" w:cs="Calibri"/>
          <w:sz w:val="18"/>
          <w:szCs w:val="18"/>
          <w:lang w:val="de-DE"/>
        </w:rPr>
        <w:t xml:space="preserve"> </w:t>
      </w:r>
      <w:r w:rsidRPr="004C1F1C">
        <w:rPr>
          <w:rFonts w:ascii="Calibri" w:hAnsi="Calibri" w:cs="Calibri"/>
          <w:sz w:val="18"/>
          <w:szCs w:val="18"/>
          <w:lang w:val="de-DE"/>
        </w:rPr>
        <w:t>Als Amts- und Mandatsträger*innen werden im Folgenden all jene Personen bezeichnet, die im Ehren- oder Hauptamt ein politisches Mandat bekleiden. Wir ergänzen die Betrachtung zudem um kommunale Verwaltungsmitarbeiter*innen, die zwar keine Amts- und Mandatsträger*innen sind, in ihrer Funktion als „Gesicht“ des Staates bzw. der Verwaltung jedoch Anfeindungen erleben.</w:t>
      </w:r>
    </w:p>
  </w:footnote>
  <w:footnote w:id="48">
    <w:p w14:paraId="646370BA" w14:textId="77777777" w:rsidR="00C05D52" w:rsidRPr="004C1F1C" w:rsidRDefault="00C05D52" w:rsidP="00C05D52">
      <w:pPr>
        <w:pStyle w:val="Textkrper"/>
        <w:spacing w:before="0" w:after="0"/>
        <w:jc w:val="both"/>
        <w:rPr>
          <w:rFonts w:ascii="Calibri" w:hAnsi="Calibri" w:cs="Calibri"/>
          <w:sz w:val="18"/>
          <w:szCs w:val="18"/>
          <w:lang w:val="de-DE"/>
        </w:rPr>
      </w:pPr>
      <w:r w:rsidRPr="004C1F1C">
        <w:rPr>
          <w:rStyle w:val="Funotenzeichen"/>
          <w:rFonts w:ascii="Calibri" w:hAnsi="Calibri" w:cs="Calibri"/>
          <w:sz w:val="18"/>
          <w:szCs w:val="18"/>
        </w:rPr>
        <w:footnoteRef/>
      </w:r>
      <w:r w:rsidRPr="004C1F1C">
        <w:rPr>
          <w:rStyle w:val="Funotenzeichen"/>
          <w:rFonts w:ascii="Calibri" w:hAnsi="Calibri" w:cs="Calibri"/>
          <w:sz w:val="18"/>
          <w:szCs w:val="18"/>
          <w:lang w:val="de-DE"/>
        </w:rPr>
        <w:t xml:space="preserve"> </w:t>
      </w:r>
      <w:r w:rsidRPr="004C1F1C">
        <w:rPr>
          <w:rFonts w:ascii="Calibri" w:hAnsi="Calibri" w:cs="Calibri"/>
          <w:sz w:val="18"/>
          <w:szCs w:val="18"/>
          <w:lang w:val="de-DE"/>
        </w:rPr>
        <w:t>Es ist hervorzuheben, dass die hier fokussierte Zielgruppe sich deutlich von anderen Gruppen unterscheidet, die psychosoziale oder therapeutische Unterstützung benötigen. Während allgemeine psychosoziale Hilfen primär auf individuelle Lebenslagen und private Krisen zielen, erfordert die Beratung von Amts- und Mandatsträger*innen die Berücksichtigung der öffentlichen Funktion und der politisch-administrativen Einbettung der Person.</w:t>
      </w:r>
    </w:p>
  </w:footnote>
  <w:footnote w:id="49">
    <w:p w14:paraId="55E88BBA" w14:textId="77777777" w:rsidR="00C05D52" w:rsidRPr="004C1F1C" w:rsidRDefault="00C05D52" w:rsidP="00C05D52">
      <w:pPr>
        <w:pStyle w:val="Funotentext"/>
        <w:rPr>
          <w:rFonts w:ascii="Calibri" w:hAnsi="Calibri" w:cs="Calibri"/>
          <w:sz w:val="18"/>
          <w:szCs w:val="18"/>
          <w:lang w:val="de-DE"/>
        </w:rPr>
      </w:pPr>
      <w:r w:rsidRPr="004C1F1C">
        <w:rPr>
          <w:rStyle w:val="Funotenzeichen"/>
          <w:rFonts w:ascii="Calibri" w:hAnsi="Calibri" w:cs="Calibri"/>
          <w:sz w:val="18"/>
          <w:szCs w:val="18"/>
        </w:rPr>
        <w:footnoteRef/>
      </w:r>
      <w:r w:rsidRPr="004C1F1C">
        <w:rPr>
          <w:rFonts w:ascii="Calibri" w:hAnsi="Calibri" w:cs="Calibri"/>
          <w:sz w:val="18"/>
          <w:szCs w:val="18"/>
          <w:lang w:val="de-DE"/>
        </w:rPr>
        <w:t xml:space="preserve"> </w:t>
      </w:r>
      <w:hyperlink r:id="rId5" w:history="1">
        <w:r w:rsidRPr="004C1F1C">
          <w:rPr>
            <w:rStyle w:val="Hyperlink"/>
            <w:rFonts w:ascii="Calibri" w:hAnsi="Calibri" w:cs="Calibri"/>
            <w:sz w:val="18"/>
            <w:szCs w:val="18"/>
            <w:lang w:val="de-DE"/>
          </w:rPr>
          <w:t>https://www.polizei.sachsen.de/de/98508.htm</w:t>
        </w:r>
      </w:hyperlink>
      <w:r w:rsidRPr="004C1F1C">
        <w:rPr>
          <w:rFonts w:ascii="Calibri" w:hAnsi="Calibri" w:cs="Calibri"/>
          <w:sz w:val="18"/>
          <w:szCs w:val="18"/>
          <w:lang w:val="de-DE"/>
        </w:rPr>
        <w:t>, zuletzt geprüft am 18.08.2025</w:t>
      </w:r>
    </w:p>
  </w:footnote>
  <w:footnote w:id="50">
    <w:p w14:paraId="55453796" w14:textId="77777777" w:rsidR="00C05D52" w:rsidRPr="004C1F1C" w:rsidRDefault="00C05D52" w:rsidP="00C05D52">
      <w:pPr>
        <w:pStyle w:val="Funotentext"/>
        <w:rPr>
          <w:rFonts w:ascii="Calibri" w:hAnsi="Calibri" w:cs="Calibri"/>
          <w:sz w:val="18"/>
          <w:szCs w:val="18"/>
          <w:lang w:val="de-DE"/>
        </w:rPr>
      </w:pPr>
      <w:r w:rsidRPr="004C1F1C">
        <w:rPr>
          <w:rStyle w:val="Funotenzeichen"/>
          <w:rFonts w:ascii="Calibri" w:hAnsi="Calibri" w:cs="Calibri"/>
          <w:sz w:val="18"/>
          <w:szCs w:val="18"/>
        </w:rPr>
        <w:footnoteRef/>
      </w:r>
      <w:r w:rsidRPr="004C1F1C">
        <w:rPr>
          <w:rFonts w:ascii="Calibri" w:hAnsi="Calibri" w:cs="Calibri"/>
          <w:sz w:val="18"/>
          <w:szCs w:val="18"/>
          <w:lang w:val="de-DE"/>
        </w:rPr>
        <w:t xml:space="preserve"> </w:t>
      </w:r>
      <w:hyperlink r:id="rId6" w:history="1">
        <w:r w:rsidRPr="004C1F1C">
          <w:rPr>
            <w:rStyle w:val="Hyperlink"/>
            <w:rFonts w:ascii="Calibri" w:hAnsi="Calibri" w:cs="Calibri"/>
            <w:sz w:val="18"/>
            <w:szCs w:val="18"/>
            <w:lang w:val="de-DE"/>
          </w:rPr>
          <w:t>https://www.sicherimdienst.nrw/</w:t>
        </w:r>
      </w:hyperlink>
      <w:r w:rsidRPr="004C1F1C">
        <w:rPr>
          <w:rFonts w:ascii="Calibri" w:hAnsi="Calibri" w:cs="Calibri"/>
          <w:sz w:val="18"/>
          <w:szCs w:val="18"/>
          <w:lang w:val="de-DE"/>
        </w:rPr>
        <w:t>, zuletzt geprüft am 18.08.2025</w:t>
      </w:r>
    </w:p>
  </w:footnote>
  <w:footnote w:id="51">
    <w:p w14:paraId="5B72473D" w14:textId="77777777" w:rsidR="00C05D52" w:rsidRPr="004C1F1C" w:rsidRDefault="00C05D52" w:rsidP="00C05D52">
      <w:pPr>
        <w:pStyle w:val="Textkrper"/>
        <w:spacing w:before="0" w:after="0"/>
        <w:jc w:val="both"/>
        <w:rPr>
          <w:rFonts w:ascii="Calibri" w:hAnsi="Calibri" w:cs="Calibri"/>
          <w:sz w:val="18"/>
          <w:szCs w:val="18"/>
          <w:lang w:val="de-DE"/>
        </w:rPr>
      </w:pPr>
      <w:r w:rsidRPr="004C1F1C">
        <w:rPr>
          <w:rStyle w:val="Funotenzeichen"/>
          <w:rFonts w:ascii="Calibri" w:hAnsi="Calibri" w:cs="Calibri"/>
          <w:sz w:val="18"/>
          <w:szCs w:val="18"/>
        </w:rPr>
        <w:footnoteRef/>
      </w:r>
      <w:r w:rsidRPr="004C1F1C">
        <w:rPr>
          <w:rStyle w:val="Funotenzeichen"/>
          <w:rFonts w:ascii="Calibri" w:hAnsi="Calibri" w:cs="Calibri"/>
          <w:sz w:val="18"/>
          <w:szCs w:val="18"/>
          <w:lang w:val="de-DE"/>
        </w:rPr>
        <w:t xml:space="preserve"> </w:t>
      </w:r>
      <w:r w:rsidRPr="004C1F1C">
        <w:rPr>
          <w:rFonts w:ascii="Calibri" w:hAnsi="Calibri" w:cs="Calibri"/>
          <w:sz w:val="18"/>
          <w:szCs w:val="18"/>
          <w:lang w:val="de-DE"/>
        </w:rPr>
        <w:t>Seit November 2023 lief im Rahmen von ZAMAT ein einjähriges Pilotprojekt, das auch ein psychosoziales Beratungsangebot schuf. Es ergänzte die polizeiliche Beratung im Rahmen des genannten Opferschutzes. Dieses Angebot war bisher die einzige psychosoziale Beratung für Amts- und Mandatsträger*innen in Deutschland, wird jedoch derzeit nicht weiterfinanziert.</w:t>
      </w:r>
    </w:p>
  </w:footnote>
  <w:footnote w:id="52">
    <w:p w14:paraId="4A23CF85" w14:textId="77777777" w:rsidR="00C05D52" w:rsidRPr="004C1F1C" w:rsidRDefault="00C05D52" w:rsidP="00C05D52">
      <w:pPr>
        <w:pStyle w:val="Funotentext"/>
        <w:rPr>
          <w:rFonts w:ascii="Calibri" w:hAnsi="Calibri" w:cs="Calibri"/>
          <w:sz w:val="18"/>
          <w:szCs w:val="18"/>
          <w:lang w:val="de-DE"/>
        </w:rPr>
      </w:pPr>
      <w:r w:rsidRPr="004C1F1C">
        <w:rPr>
          <w:rStyle w:val="Funotenzeichen"/>
          <w:rFonts w:ascii="Calibri" w:hAnsi="Calibri" w:cs="Calibri"/>
          <w:sz w:val="18"/>
          <w:szCs w:val="18"/>
        </w:rPr>
        <w:footnoteRef/>
      </w:r>
      <w:r w:rsidRPr="004C1F1C">
        <w:rPr>
          <w:rFonts w:ascii="Calibri" w:hAnsi="Calibri" w:cs="Calibri"/>
          <w:sz w:val="18"/>
          <w:szCs w:val="18"/>
          <w:lang w:val="de-DE"/>
        </w:rPr>
        <w:t xml:space="preserve"> </w:t>
      </w:r>
      <w:hyperlink r:id="rId7" w:history="1">
        <w:r w:rsidRPr="004C1F1C">
          <w:rPr>
            <w:rStyle w:val="Hyperlink"/>
            <w:rFonts w:ascii="Calibri" w:hAnsi="Calibri" w:cs="Calibri"/>
            <w:sz w:val="18"/>
            <w:szCs w:val="18"/>
            <w:lang w:val="de-DE"/>
          </w:rPr>
          <w:t>https://www.stark-im-amt.de/</w:t>
        </w:r>
      </w:hyperlink>
      <w:r w:rsidRPr="004C1F1C">
        <w:rPr>
          <w:rFonts w:ascii="Calibri" w:hAnsi="Calibri" w:cs="Calibri"/>
          <w:sz w:val="18"/>
          <w:szCs w:val="18"/>
          <w:lang w:val="de-DE"/>
        </w:rPr>
        <w:t>, zuletzt geprüft am 18.08.2025</w:t>
      </w:r>
    </w:p>
  </w:footnote>
  <w:footnote w:id="53">
    <w:p w14:paraId="5ADCEB6B" w14:textId="77777777" w:rsidR="00C05D52" w:rsidRPr="004C1F1C" w:rsidRDefault="00C05D52" w:rsidP="00C05D52">
      <w:pPr>
        <w:pStyle w:val="Funotentext"/>
        <w:rPr>
          <w:rFonts w:ascii="Calibri" w:hAnsi="Calibri" w:cs="Calibri"/>
          <w:sz w:val="18"/>
          <w:szCs w:val="18"/>
          <w:lang w:val="de-DE"/>
        </w:rPr>
      </w:pPr>
      <w:r w:rsidRPr="004C1F1C">
        <w:rPr>
          <w:rStyle w:val="Funotenzeichen"/>
          <w:rFonts w:ascii="Calibri" w:hAnsi="Calibri" w:cs="Calibri"/>
          <w:sz w:val="18"/>
          <w:szCs w:val="18"/>
        </w:rPr>
        <w:footnoteRef/>
      </w:r>
      <w:r w:rsidRPr="004C1F1C">
        <w:rPr>
          <w:rFonts w:ascii="Calibri" w:hAnsi="Calibri" w:cs="Calibri"/>
          <w:sz w:val="18"/>
          <w:szCs w:val="18"/>
          <w:lang w:val="de-DE"/>
        </w:rPr>
        <w:t xml:space="preserve"> </w:t>
      </w:r>
      <w:hyperlink r:id="rId8" w:history="1">
        <w:r w:rsidRPr="004C1F1C">
          <w:rPr>
            <w:rStyle w:val="Hyperlink"/>
            <w:rFonts w:ascii="Calibri" w:hAnsi="Calibri" w:cs="Calibri"/>
            <w:sz w:val="18"/>
            <w:szCs w:val="18"/>
            <w:lang w:val="de-DE"/>
          </w:rPr>
          <w:t>https://www.demokratie-leben.de/dl/projektpraxis/beratungsangebote/mobile-beratung</w:t>
        </w:r>
      </w:hyperlink>
      <w:r w:rsidRPr="004C1F1C">
        <w:rPr>
          <w:rFonts w:ascii="Calibri" w:hAnsi="Calibri" w:cs="Calibri"/>
          <w:sz w:val="18"/>
          <w:szCs w:val="18"/>
          <w:lang w:val="de-DE"/>
        </w:rPr>
        <w:t>, zuletzt geprüft am 18.08.2025.</w:t>
      </w:r>
    </w:p>
  </w:footnote>
  <w:footnote w:id="54">
    <w:p w14:paraId="68405A5C" w14:textId="77777777" w:rsidR="00C05D52" w:rsidRPr="004C1F1C" w:rsidRDefault="00C05D52" w:rsidP="00C05D52">
      <w:pPr>
        <w:pStyle w:val="Funotentext"/>
        <w:rPr>
          <w:rFonts w:ascii="Calibri" w:hAnsi="Calibri" w:cs="Calibri"/>
          <w:sz w:val="18"/>
          <w:szCs w:val="18"/>
          <w:lang w:val="de-DE"/>
        </w:rPr>
      </w:pPr>
      <w:r w:rsidRPr="004C1F1C">
        <w:rPr>
          <w:rStyle w:val="Funotenzeichen"/>
          <w:rFonts w:ascii="Calibri" w:hAnsi="Calibri" w:cs="Calibri"/>
          <w:sz w:val="18"/>
          <w:szCs w:val="18"/>
        </w:rPr>
        <w:footnoteRef/>
      </w:r>
      <w:r w:rsidRPr="004C1F1C">
        <w:rPr>
          <w:rFonts w:ascii="Calibri" w:hAnsi="Calibri" w:cs="Calibri"/>
          <w:sz w:val="18"/>
          <w:szCs w:val="18"/>
          <w:lang w:val="de-DE"/>
        </w:rPr>
        <w:t xml:space="preserve"> </w:t>
      </w:r>
      <w:hyperlink r:id="rId9" w:history="1">
        <w:r w:rsidRPr="004C1F1C">
          <w:rPr>
            <w:rStyle w:val="Hyperlink"/>
            <w:rFonts w:ascii="Calibri" w:hAnsi="Calibri" w:cs="Calibri"/>
            <w:sz w:val="18"/>
            <w:szCs w:val="18"/>
            <w:lang w:val="de-DE"/>
          </w:rPr>
          <w:t>https://verband-brg.de/</w:t>
        </w:r>
      </w:hyperlink>
      <w:r w:rsidRPr="004C1F1C">
        <w:rPr>
          <w:rFonts w:ascii="Calibri" w:hAnsi="Calibri" w:cs="Calibri"/>
          <w:sz w:val="18"/>
          <w:szCs w:val="18"/>
          <w:lang w:val="de-DE"/>
        </w:rPr>
        <w:t>, zuletzt geprüft am 18.02.2025.</w:t>
      </w:r>
    </w:p>
  </w:footnote>
  <w:footnote w:id="55">
    <w:p w14:paraId="07D76A3F" w14:textId="77777777" w:rsidR="00C05D52" w:rsidRPr="00A54F1B" w:rsidRDefault="00C05D52" w:rsidP="00C05D52">
      <w:pPr>
        <w:pStyle w:val="Textkrper"/>
        <w:spacing w:before="0" w:after="0"/>
        <w:jc w:val="both"/>
        <w:rPr>
          <w:lang w:val="de-DE"/>
        </w:rPr>
      </w:pPr>
      <w:r w:rsidRPr="004C1F1C">
        <w:rPr>
          <w:rStyle w:val="Funotenzeichen"/>
          <w:rFonts w:ascii="Calibri" w:hAnsi="Calibri" w:cs="Calibri"/>
          <w:sz w:val="18"/>
          <w:szCs w:val="18"/>
        </w:rPr>
        <w:footnoteRef/>
      </w:r>
      <w:r w:rsidRPr="004C1F1C">
        <w:rPr>
          <w:rFonts w:ascii="Calibri" w:hAnsi="Calibri" w:cs="Calibri"/>
          <w:sz w:val="18"/>
          <w:szCs w:val="18"/>
          <w:lang w:val="de-DE"/>
        </w:rPr>
        <w:t xml:space="preserve"> Im weiteren Verlauf des Beitrags verwenden wir den Begriff psychosoziale Beratung im </w:t>
      </w:r>
      <w:r w:rsidRPr="004C1F1C">
        <w:rPr>
          <w:rFonts w:ascii="Calibri" w:hAnsi="Calibri" w:cs="Calibri"/>
          <w:i/>
          <w:iCs/>
          <w:sz w:val="18"/>
          <w:szCs w:val="18"/>
          <w:lang w:val="de-DE"/>
        </w:rPr>
        <w:t>engeren</w:t>
      </w:r>
      <w:r w:rsidRPr="004C1F1C">
        <w:rPr>
          <w:rFonts w:ascii="Calibri" w:hAnsi="Calibri" w:cs="Calibri"/>
          <w:sz w:val="18"/>
          <w:szCs w:val="18"/>
          <w:lang w:val="de-DE"/>
        </w:rPr>
        <w:t xml:space="preserve"> Sinne der sozialarbeiterisch geprägten, nicht-therapeutischen Unterstützung, die auf Stabilisierung, Ressourcenaktivierung und Vermittlung in weiterführende Hilfen zielt. Psychotherapeutische Maßnahmen im Sinne des Psychotherapeutengesetzes werden hier bewusst abgegrenzt, da sie andere Zielsetzungen, Qualifikationsanforderungen und rechtliche</w:t>
      </w:r>
      <w:r w:rsidRPr="00A54F1B">
        <w:rPr>
          <w:sz w:val="18"/>
          <w:szCs w:val="18"/>
          <w:lang w:val="de-DE"/>
        </w:rPr>
        <w:t xml:space="preserve"> </w:t>
      </w:r>
      <w:r w:rsidRPr="004C1F1C">
        <w:rPr>
          <w:rFonts w:ascii="Calibri" w:hAnsi="Calibri" w:cs="Calibri"/>
          <w:sz w:val="18"/>
          <w:szCs w:val="18"/>
          <w:lang w:val="de-DE"/>
        </w:rPr>
        <w:t>Rahmenbedingungen aufweisen. Damit soll eine klare terminologische Trennung sichergestellt werden, auch wenn sich beide Felder in der Praxis häufig ergänzen.</w:t>
      </w:r>
    </w:p>
  </w:footnote>
  <w:footnote w:id="56">
    <w:p w14:paraId="6E1398CC" w14:textId="77777777" w:rsidR="00C05D52" w:rsidRPr="00723281" w:rsidRDefault="00C05D52" w:rsidP="00C05D52">
      <w:pPr>
        <w:pStyle w:val="Funotentext"/>
        <w:rPr>
          <w:rFonts w:ascii="Calibri" w:hAnsi="Calibri" w:cs="Calibri"/>
          <w:sz w:val="18"/>
          <w:szCs w:val="18"/>
          <w:lang w:val="de-DE"/>
        </w:rPr>
      </w:pPr>
      <w:r w:rsidRPr="00723281">
        <w:rPr>
          <w:rStyle w:val="Funotenzeichen"/>
          <w:rFonts w:ascii="Calibri" w:hAnsi="Calibri" w:cs="Calibri"/>
          <w:sz w:val="18"/>
          <w:szCs w:val="18"/>
        </w:rPr>
        <w:footnoteRef/>
      </w:r>
      <w:r w:rsidRPr="006C549D">
        <w:rPr>
          <w:rFonts w:ascii="Calibri" w:hAnsi="Calibri" w:cs="Calibri"/>
          <w:sz w:val="18"/>
          <w:szCs w:val="18"/>
          <w:lang w:val="de-DE"/>
        </w:rPr>
        <w:t xml:space="preserve"> </w:t>
      </w:r>
      <w:r w:rsidRPr="00723281">
        <w:rPr>
          <w:rFonts w:ascii="Calibri" w:hAnsi="Calibri" w:cs="Calibri"/>
          <w:sz w:val="18"/>
          <w:szCs w:val="18"/>
          <w:lang w:val="de-DE"/>
        </w:rPr>
        <w:t>Einen ähnlichen Mechanismus, aber für das Themenfeld Verschwörungsdenken in Zusammenhang mit extremistischen Einstellungen, bietet seit Februar 2025 der Beratungskompass Verschwörungsdenken im Auftrag der Bunde</w:t>
      </w:r>
      <w:r>
        <w:rPr>
          <w:rFonts w:ascii="Calibri" w:hAnsi="Calibri" w:cs="Calibri"/>
          <w:sz w:val="18"/>
          <w:szCs w:val="18"/>
          <w:lang w:val="de-DE"/>
        </w:rPr>
        <w:t>s</w:t>
      </w:r>
      <w:r w:rsidRPr="00723281">
        <w:rPr>
          <w:rFonts w:ascii="Calibri" w:hAnsi="Calibri" w:cs="Calibri"/>
          <w:sz w:val="18"/>
          <w:szCs w:val="18"/>
          <w:lang w:val="de-DE"/>
        </w:rPr>
        <w:t>ministerien für Bildung, Familie, Senioren</w:t>
      </w:r>
      <w:r>
        <w:rPr>
          <w:rFonts w:ascii="Calibri" w:hAnsi="Calibri" w:cs="Calibri"/>
          <w:sz w:val="18"/>
          <w:szCs w:val="18"/>
          <w:lang w:val="de-DE"/>
        </w:rPr>
        <w:t>,</w:t>
      </w:r>
      <w:r w:rsidRPr="00723281">
        <w:rPr>
          <w:rFonts w:ascii="Calibri" w:hAnsi="Calibri" w:cs="Calibri"/>
          <w:sz w:val="18"/>
          <w:szCs w:val="18"/>
          <w:lang w:val="de-DE"/>
        </w:rPr>
        <w:t xml:space="preserve"> Frauen und Jugend (BMBFSFJ) sowie </w:t>
      </w:r>
      <w:r>
        <w:rPr>
          <w:rFonts w:ascii="Calibri" w:hAnsi="Calibri" w:cs="Calibri"/>
          <w:sz w:val="18"/>
          <w:szCs w:val="18"/>
          <w:lang w:val="de-DE"/>
        </w:rPr>
        <w:t>des</w:t>
      </w:r>
      <w:r w:rsidRPr="00723281">
        <w:rPr>
          <w:rFonts w:ascii="Calibri" w:hAnsi="Calibri" w:cs="Calibri"/>
          <w:sz w:val="18"/>
          <w:szCs w:val="18"/>
          <w:lang w:val="de-DE"/>
        </w:rPr>
        <w:t xml:space="preserve"> Inner</w:t>
      </w:r>
      <w:r>
        <w:rPr>
          <w:rFonts w:ascii="Calibri" w:hAnsi="Calibri" w:cs="Calibri"/>
          <w:sz w:val="18"/>
          <w:szCs w:val="18"/>
          <w:lang w:val="de-DE"/>
        </w:rPr>
        <w:t>n</w:t>
      </w:r>
      <w:r w:rsidRPr="00723281">
        <w:rPr>
          <w:rFonts w:ascii="Calibri" w:hAnsi="Calibri" w:cs="Calibri"/>
          <w:sz w:val="18"/>
          <w:szCs w:val="18"/>
          <w:lang w:val="de-DE"/>
        </w:rPr>
        <w:t xml:space="preserve"> und</w:t>
      </w:r>
      <w:r>
        <w:rPr>
          <w:rFonts w:ascii="Calibri" w:hAnsi="Calibri" w:cs="Calibri"/>
          <w:sz w:val="18"/>
          <w:szCs w:val="18"/>
          <w:lang w:val="de-DE"/>
        </w:rPr>
        <w:t xml:space="preserve"> für</w:t>
      </w:r>
      <w:r w:rsidRPr="00723281">
        <w:rPr>
          <w:rFonts w:ascii="Calibri" w:hAnsi="Calibri" w:cs="Calibri"/>
          <w:sz w:val="18"/>
          <w:szCs w:val="18"/>
          <w:lang w:val="de-DE"/>
        </w:rPr>
        <w:t xml:space="preserve"> Heimat (BMI) an.</w:t>
      </w:r>
    </w:p>
  </w:footnote>
  <w:footnote w:id="57">
    <w:p w14:paraId="00D9C6DF" w14:textId="77777777" w:rsidR="00C05D52" w:rsidRPr="004C1F1C" w:rsidRDefault="00C05D52" w:rsidP="00C05D52">
      <w:pPr>
        <w:pStyle w:val="Funotentext"/>
        <w:rPr>
          <w:rFonts w:ascii="Calibri" w:hAnsi="Calibri" w:cs="Calibri"/>
          <w:sz w:val="18"/>
          <w:szCs w:val="18"/>
          <w:lang w:val="de-DE"/>
        </w:rPr>
      </w:pPr>
      <w:r w:rsidRPr="003173C8">
        <w:rPr>
          <w:rStyle w:val="Funotenzeichen"/>
          <w:rFonts w:ascii="Calibri" w:hAnsi="Calibri" w:cs="Calibri"/>
          <w:sz w:val="18"/>
          <w:szCs w:val="18"/>
        </w:rPr>
        <w:footnoteRef/>
      </w:r>
      <w:r w:rsidRPr="004C1F1C">
        <w:rPr>
          <w:rFonts w:ascii="Calibri" w:hAnsi="Calibri" w:cs="Calibri"/>
          <w:sz w:val="18"/>
          <w:szCs w:val="18"/>
          <w:lang w:val="de-DE"/>
        </w:rPr>
        <w:t xml:space="preserve"> Sollten wir mit dieser Einschätzung falsch liegen, sind wir für entsprechende Hinweise dankbar.</w:t>
      </w:r>
    </w:p>
  </w:footnote>
  <w:footnote w:id="58">
    <w:p w14:paraId="3DAEF6C2" w14:textId="77777777" w:rsidR="00C05D52" w:rsidRPr="00285B13" w:rsidRDefault="00C05D52" w:rsidP="00C05D52">
      <w:pPr>
        <w:pStyle w:val="Funotentext"/>
        <w:rPr>
          <w:rFonts w:ascii="Calibri" w:hAnsi="Calibri" w:cs="Calibri"/>
          <w:lang w:val="de-DE"/>
        </w:rPr>
      </w:pPr>
      <w:r w:rsidRPr="00285B13">
        <w:rPr>
          <w:rStyle w:val="Funotenzeichen"/>
          <w:rFonts w:ascii="Calibri" w:hAnsi="Calibri" w:cs="Calibri"/>
          <w:sz w:val="18"/>
          <w:szCs w:val="18"/>
        </w:rPr>
        <w:footnoteRef/>
      </w:r>
      <w:r w:rsidRPr="00285B13">
        <w:rPr>
          <w:rFonts w:ascii="Calibri" w:hAnsi="Calibri" w:cs="Calibri"/>
          <w:sz w:val="18"/>
          <w:szCs w:val="18"/>
          <w:lang w:val="de-DE"/>
        </w:rPr>
        <w:t xml:space="preserve"> </w:t>
      </w:r>
      <w:r w:rsidRPr="00EA211E">
        <w:rPr>
          <w:rFonts w:ascii="Calibri" w:hAnsi="Calibri" w:cs="Calibri"/>
          <w:sz w:val="18"/>
          <w:szCs w:val="18"/>
          <w:lang w:val="de-DE"/>
        </w:rPr>
        <w:t>https://de.statista.com/statistik/daten/studie/1447765/umfrage/angriffe-auf-politiker-und-parteimitglieder/</w:t>
      </w:r>
      <w:r>
        <w:rPr>
          <w:rFonts w:ascii="Calibri" w:hAnsi="Calibri" w:cs="Calibri"/>
          <w:sz w:val="18"/>
          <w:szCs w:val="18"/>
          <w:lang w:val="de-DE"/>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99411"/>
    <w:multiLevelType w:val="multilevel"/>
    <w:tmpl w:val="414A444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01E60B42"/>
    <w:multiLevelType w:val="multilevel"/>
    <w:tmpl w:val="307C56F6"/>
    <w:lvl w:ilvl="0">
      <w:start w:val="2"/>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28431B5"/>
    <w:multiLevelType w:val="hybridMultilevel"/>
    <w:tmpl w:val="30102E8E"/>
    <w:lvl w:ilvl="0" w:tplc="F8384902">
      <w:start w:val="2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7E757CA"/>
    <w:multiLevelType w:val="multilevel"/>
    <w:tmpl w:val="60EA6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13412A"/>
    <w:multiLevelType w:val="multilevel"/>
    <w:tmpl w:val="594E7EA2"/>
    <w:lvl w:ilvl="0">
      <w:start w:val="3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4B85F22"/>
    <w:multiLevelType w:val="hybridMultilevel"/>
    <w:tmpl w:val="CADE49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50A2D07"/>
    <w:multiLevelType w:val="hybridMultilevel"/>
    <w:tmpl w:val="1CE01B4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79A6D41"/>
    <w:multiLevelType w:val="multilevel"/>
    <w:tmpl w:val="4DD414A2"/>
    <w:lvl w:ilvl="0">
      <w:start w:val="1"/>
      <w:numFmt w:val="upperRoman"/>
      <w:lvlText w:val="(%1)"/>
      <w:lvlJc w:val="left"/>
      <w:pPr>
        <w:tabs>
          <w:tab w:val="num" w:pos="720"/>
        </w:tabs>
        <w:ind w:left="720" w:hanging="360"/>
      </w:pPr>
      <w:rPr>
        <w:rFonts w:ascii="Calibri" w:eastAsiaTheme="minorHAnsi" w:hAnsi="Calibri" w:cs="Calibri"/>
        <w:sz w:val="20"/>
      </w:rPr>
    </w:lvl>
    <w:lvl w:ilvl="1">
      <w:start w:val="7"/>
      <w:numFmt w:val="bullet"/>
      <w:lvlText w:val="-"/>
      <w:lvlJc w:val="left"/>
      <w:pPr>
        <w:ind w:left="1440" w:hanging="360"/>
      </w:pPr>
      <w:rPr>
        <w:rFonts w:ascii="Calibri" w:eastAsiaTheme="minorHAnsi" w:hAnsi="Calibri" w:cs="Calibri"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AE76E6"/>
    <w:multiLevelType w:val="hybridMultilevel"/>
    <w:tmpl w:val="3FBEE7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8DC3B92"/>
    <w:multiLevelType w:val="multilevel"/>
    <w:tmpl w:val="1D721DAE"/>
    <w:lvl w:ilvl="0">
      <w:start w:val="2"/>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2F6500C8"/>
    <w:multiLevelType w:val="hybridMultilevel"/>
    <w:tmpl w:val="2874672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17D49D8"/>
    <w:multiLevelType w:val="hybridMultilevel"/>
    <w:tmpl w:val="6BDAEF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36272DEA"/>
    <w:multiLevelType w:val="hybridMultilevel"/>
    <w:tmpl w:val="8862B29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3B991D9D"/>
    <w:multiLevelType w:val="multilevel"/>
    <w:tmpl w:val="A642A80A"/>
    <w:lvl w:ilvl="0">
      <w:start w:val="3"/>
      <w:numFmt w:val="decimal"/>
      <w:lvlText w:val="%1"/>
      <w:lvlJc w:val="left"/>
      <w:pPr>
        <w:ind w:left="560" w:hanging="560"/>
      </w:pPr>
      <w:rPr>
        <w:rFonts w:hint="default"/>
      </w:rPr>
    </w:lvl>
    <w:lvl w:ilvl="1">
      <w:start w:val="2"/>
      <w:numFmt w:val="decimal"/>
      <w:lvlText w:val="%1.%2"/>
      <w:lvlJc w:val="left"/>
      <w:pPr>
        <w:ind w:left="560" w:hanging="5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47B36CF2"/>
    <w:multiLevelType w:val="hybridMultilevel"/>
    <w:tmpl w:val="7F6840E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48221663"/>
    <w:multiLevelType w:val="multilevel"/>
    <w:tmpl w:val="FA82D540"/>
    <w:lvl w:ilvl="0">
      <w:start w:val="3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9612F9B"/>
    <w:multiLevelType w:val="multilevel"/>
    <w:tmpl w:val="FC0038F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B1F6B44"/>
    <w:multiLevelType w:val="hybridMultilevel"/>
    <w:tmpl w:val="A0347DD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5DFF41F3"/>
    <w:multiLevelType w:val="multilevel"/>
    <w:tmpl w:val="9FD65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29C4C3C"/>
    <w:multiLevelType w:val="hybridMultilevel"/>
    <w:tmpl w:val="4D90F39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652D39E1"/>
    <w:multiLevelType w:val="hybridMultilevel"/>
    <w:tmpl w:val="0FFEF866"/>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6532041B"/>
    <w:multiLevelType w:val="multilevel"/>
    <w:tmpl w:val="6A5CE57A"/>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8537597"/>
    <w:multiLevelType w:val="hybridMultilevel"/>
    <w:tmpl w:val="E77AD95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3" w15:restartNumberingAfterBreak="0">
    <w:nsid w:val="68AE38C9"/>
    <w:multiLevelType w:val="hybridMultilevel"/>
    <w:tmpl w:val="71C05954"/>
    <w:lvl w:ilvl="0" w:tplc="8BC0A80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3B5F35"/>
    <w:multiLevelType w:val="hybridMultilevel"/>
    <w:tmpl w:val="17AEC6E8"/>
    <w:lvl w:ilvl="0" w:tplc="FFFFFFFF">
      <w:start w:val="1"/>
      <w:numFmt w:val="bullet"/>
      <w:lvlText w:val=""/>
      <w:lvlJc w:val="left"/>
      <w:pPr>
        <w:ind w:left="720" w:hanging="360"/>
      </w:pPr>
      <w:rPr>
        <w:rFonts w:ascii="Symbol" w:hAnsi="Symbol" w:hint="default"/>
      </w:rPr>
    </w:lvl>
    <w:lvl w:ilvl="1" w:tplc="0407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6F137FA3"/>
    <w:multiLevelType w:val="hybridMultilevel"/>
    <w:tmpl w:val="B55C285E"/>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6" w15:restartNumberingAfterBreak="0">
    <w:nsid w:val="73DF0CFE"/>
    <w:multiLevelType w:val="multilevel"/>
    <w:tmpl w:val="0407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27" w15:restartNumberingAfterBreak="0">
    <w:nsid w:val="76CB1A12"/>
    <w:multiLevelType w:val="hybridMultilevel"/>
    <w:tmpl w:val="DF6E3EB2"/>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2095930843">
    <w:abstractNumId w:val="26"/>
  </w:num>
  <w:num w:numId="2" w16cid:durableId="694696565">
    <w:abstractNumId w:val="22"/>
  </w:num>
  <w:num w:numId="3" w16cid:durableId="2130394567">
    <w:abstractNumId w:val="11"/>
  </w:num>
  <w:num w:numId="4" w16cid:durableId="163321113">
    <w:abstractNumId w:val="5"/>
  </w:num>
  <w:num w:numId="5" w16cid:durableId="519664623">
    <w:abstractNumId w:val="21"/>
  </w:num>
  <w:num w:numId="6" w16cid:durableId="1312517244">
    <w:abstractNumId w:val="4"/>
  </w:num>
  <w:num w:numId="7" w16cid:durableId="1124495729">
    <w:abstractNumId w:val="17"/>
  </w:num>
  <w:num w:numId="8" w16cid:durableId="1204173028">
    <w:abstractNumId w:val="15"/>
  </w:num>
  <w:num w:numId="9" w16cid:durableId="190537198">
    <w:abstractNumId w:val="14"/>
  </w:num>
  <w:num w:numId="10" w16cid:durableId="2123913035">
    <w:abstractNumId w:val="10"/>
  </w:num>
  <w:num w:numId="11" w16cid:durableId="241985456">
    <w:abstractNumId w:val="20"/>
  </w:num>
  <w:num w:numId="12" w16cid:durableId="438913011">
    <w:abstractNumId w:val="27"/>
  </w:num>
  <w:num w:numId="13" w16cid:durableId="1362049148">
    <w:abstractNumId w:val="8"/>
  </w:num>
  <w:num w:numId="14" w16cid:durableId="1143044059">
    <w:abstractNumId w:val="3"/>
  </w:num>
  <w:num w:numId="15" w16cid:durableId="2139569092">
    <w:abstractNumId w:val="18"/>
  </w:num>
  <w:num w:numId="16" w16cid:durableId="495343406">
    <w:abstractNumId w:val="25"/>
  </w:num>
  <w:num w:numId="17" w16cid:durableId="2025595788">
    <w:abstractNumId w:val="2"/>
  </w:num>
  <w:num w:numId="18" w16cid:durableId="220210772">
    <w:abstractNumId w:val="9"/>
  </w:num>
  <w:num w:numId="19" w16cid:durableId="1196577952">
    <w:abstractNumId w:val="1"/>
  </w:num>
  <w:num w:numId="20" w16cid:durableId="1278105419">
    <w:abstractNumId w:val="19"/>
  </w:num>
  <w:num w:numId="21" w16cid:durableId="85081369">
    <w:abstractNumId w:val="13"/>
  </w:num>
  <w:num w:numId="22" w16cid:durableId="1269510927">
    <w:abstractNumId w:val="7"/>
  </w:num>
  <w:num w:numId="23" w16cid:durableId="2117753222">
    <w:abstractNumId w:val="23"/>
  </w:num>
  <w:num w:numId="24" w16cid:durableId="853229529">
    <w:abstractNumId w:val="16"/>
  </w:num>
  <w:num w:numId="25" w16cid:durableId="1181045653">
    <w:abstractNumId w:val="12"/>
  </w:num>
  <w:num w:numId="26" w16cid:durableId="1171411506">
    <w:abstractNumId w:val="24"/>
  </w:num>
  <w:num w:numId="27" w16cid:durableId="1104038937">
    <w:abstractNumId w:val="6"/>
  </w:num>
  <w:num w:numId="28" w16cid:durableId="210345555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87530832">
    <w:abstractNumId w:val="26"/>
  </w:num>
  <w:num w:numId="30" w16cid:durableId="82204220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D97"/>
    <w:rsid w:val="00000AB1"/>
    <w:rsid w:val="0000208E"/>
    <w:rsid w:val="00003077"/>
    <w:rsid w:val="00005274"/>
    <w:rsid w:val="00006FBA"/>
    <w:rsid w:val="00012A9B"/>
    <w:rsid w:val="000130D8"/>
    <w:rsid w:val="00020455"/>
    <w:rsid w:val="0002167F"/>
    <w:rsid w:val="000403CE"/>
    <w:rsid w:val="0004148A"/>
    <w:rsid w:val="0004390D"/>
    <w:rsid w:val="00043FBB"/>
    <w:rsid w:val="000460B6"/>
    <w:rsid w:val="0005019A"/>
    <w:rsid w:val="0005042A"/>
    <w:rsid w:val="00051901"/>
    <w:rsid w:val="00053D51"/>
    <w:rsid w:val="0005440A"/>
    <w:rsid w:val="000623EE"/>
    <w:rsid w:val="000673BE"/>
    <w:rsid w:val="0007157D"/>
    <w:rsid w:val="000731D0"/>
    <w:rsid w:val="000859FF"/>
    <w:rsid w:val="00086B17"/>
    <w:rsid w:val="0008700B"/>
    <w:rsid w:val="00087279"/>
    <w:rsid w:val="00087942"/>
    <w:rsid w:val="00092DDA"/>
    <w:rsid w:val="00093F69"/>
    <w:rsid w:val="000941DF"/>
    <w:rsid w:val="000A37D6"/>
    <w:rsid w:val="000B3DFC"/>
    <w:rsid w:val="000B68D8"/>
    <w:rsid w:val="000C6575"/>
    <w:rsid w:val="000D0BF9"/>
    <w:rsid w:val="000D21EE"/>
    <w:rsid w:val="000D3116"/>
    <w:rsid w:val="000E01FB"/>
    <w:rsid w:val="000E2365"/>
    <w:rsid w:val="000E7323"/>
    <w:rsid w:val="000F6191"/>
    <w:rsid w:val="000F6F76"/>
    <w:rsid w:val="00105D05"/>
    <w:rsid w:val="00115378"/>
    <w:rsid w:val="00121391"/>
    <w:rsid w:val="001243F4"/>
    <w:rsid w:val="00126DA1"/>
    <w:rsid w:val="00127003"/>
    <w:rsid w:val="001300B4"/>
    <w:rsid w:val="00135DE1"/>
    <w:rsid w:val="0013617D"/>
    <w:rsid w:val="001363CB"/>
    <w:rsid w:val="00141BEA"/>
    <w:rsid w:val="00144253"/>
    <w:rsid w:val="001512A7"/>
    <w:rsid w:val="0015206D"/>
    <w:rsid w:val="00155635"/>
    <w:rsid w:val="00161773"/>
    <w:rsid w:val="00161BE8"/>
    <w:rsid w:val="00166FA5"/>
    <w:rsid w:val="001674F2"/>
    <w:rsid w:val="00167D02"/>
    <w:rsid w:val="0017293D"/>
    <w:rsid w:val="00176387"/>
    <w:rsid w:val="00182AB3"/>
    <w:rsid w:val="001831F2"/>
    <w:rsid w:val="00183B63"/>
    <w:rsid w:val="00190178"/>
    <w:rsid w:val="00196F29"/>
    <w:rsid w:val="001A1178"/>
    <w:rsid w:val="001A2295"/>
    <w:rsid w:val="001A27A7"/>
    <w:rsid w:val="001A35B0"/>
    <w:rsid w:val="001A3B33"/>
    <w:rsid w:val="001B00AA"/>
    <w:rsid w:val="001B01F4"/>
    <w:rsid w:val="001B662E"/>
    <w:rsid w:val="001C069B"/>
    <w:rsid w:val="001C0F4F"/>
    <w:rsid w:val="001C5E7F"/>
    <w:rsid w:val="001C646C"/>
    <w:rsid w:val="001D58D8"/>
    <w:rsid w:val="001E0278"/>
    <w:rsid w:val="001E3AAE"/>
    <w:rsid w:val="001E6BBF"/>
    <w:rsid w:val="001F1D86"/>
    <w:rsid w:val="001F469F"/>
    <w:rsid w:val="001F6A50"/>
    <w:rsid w:val="00200BCC"/>
    <w:rsid w:val="00201A3F"/>
    <w:rsid w:val="002050B4"/>
    <w:rsid w:val="00207CFC"/>
    <w:rsid w:val="00211409"/>
    <w:rsid w:val="00217284"/>
    <w:rsid w:val="00220FE6"/>
    <w:rsid w:val="00226D8E"/>
    <w:rsid w:val="00231D9B"/>
    <w:rsid w:val="0023384F"/>
    <w:rsid w:val="002339B5"/>
    <w:rsid w:val="002348BA"/>
    <w:rsid w:val="002469AF"/>
    <w:rsid w:val="00251010"/>
    <w:rsid w:val="00253BBE"/>
    <w:rsid w:val="0025698A"/>
    <w:rsid w:val="00257C7D"/>
    <w:rsid w:val="002648A0"/>
    <w:rsid w:val="002753AA"/>
    <w:rsid w:val="00277AAD"/>
    <w:rsid w:val="00280215"/>
    <w:rsid w:val="00283A8A"/>
    <w:rsid w:val="00283D40"/>
    <w:rsid w:val="002862DD"/>
    <w:rsid w:val="002866F6"/>
    <w:rsid w:val="00290FDF"/>
    <w:rsid w:val="00291A82"/>
    <w:rsid w:val="00294A07"/>
    <w:rsid w:val="00296559"/>
    <w:rsid w:val="002A62BB"/>
    <w:rsid w:val="002C006E"/>
    <w:rsid w:val="002C0575"/>
    <w:rsid w:val="002C1E6C"/>
    <w:rsid w:val="002C7EE8"/>
    <w:rsid w:val="002D60A4"/>
    <w:rsid w:val="002E096A"/>
    <w:rsid w:val="002E4B19"/>
    <w:rsid w:val="002E57D9"/>
    <w:rsid w:val="002F3AE1"/>
    <w:rsid w:val="002F4B63"/>
    <w:rsid w:val="002F4E88"/>
    <w:rsid w:val="00300B86"/>
    <w:rsid w:val="00304C8D"/>
    <w:rsid w:val="00305A82"/>
    <w:rsid w:val="003065AE"/>
    <w:rsid w:val="0030713B"/>
    <w:rsid w:val="003075C7"/>
    <w:rsid w:val="00311779"/>
    <w:rsid w:val="0032068A"/>
    <w:rsid w:val="003206D3"/>
    <w:rsid w:val="00337886"/>
    <w:rsid w:val="00343771"/>
    <w:rsid w:val="003447BD"/>
    <w:rsid w:val="00362832"/>
    <w:rsid w:val="00365721"/>
    <w:rsid w:val="00366A45"/>
    <w:rsid w:val="00370499"/>
    <w:rsid w:val="00370ECA"/>
    <w:rsid w:val="003712C5"/>
    <w:rsid w:val="00371A97"/>
    <w:rsid w:val="003734D4"/>
    <w:rsid w:val="00377992"/>
    <w:rsid w:val="00382BEA"/>
    <w:rsid w:val="0038404B"/>
    <w:rsid w:val="00386EBF"/>
    <w:rsid w:val="00390EC9"/>
    <w:rsid w:val="00393DE7"/>
    <w:rsid w:val="003B23B1"/>
    <w:rsid w:val="003B4A4F"/>
    <w:rsid w:val="003B59B0"/>
    <w:rsid w:val="003C268C"/>
    <w:rsid w:val="003C7244"/>
    <w:rsid w:val="003C74E0"/>
    <w:rsid w:val="003E1082"/>
    <w:rsid w:val="003E14C8"/>
    <w:rsid w:val="003F1726"/>
    <w:rsid w:val="003F3F91"/>
    <w:rsid w:val="003F4101"/>
    <w:rsid w:val="003F475F"/>
    <w:rsid w:val="003F547A"/>
    <w:rsid w:val="00400F89"/>
    <w:rsid w:val="0040548E"/>
    <w:rsid w:val="00414769"/>
    <w:rsid w:val="004168FE"/>
    <w:rsid w:val="00421630"/>
    <w:rsid w:val="004424F8"/>
    <w:rsid w:val="0045009D"/>
    <w:rsid w:val="00460A5E"/>
    <w:rsid w:val="0046220B"/>
    <w:rsid w:val="00470201"/>
    <w:rsid w:val="00474086"/>
    <w:rsid w:val="004819E2"/>
    <w:rsid w:val="00485B80"/>
    <w:rsid w:val="00494A98"/>
    <w:rsid w:val="004952BA"/>
    <w:rsid w:val="00497C4B"/>
    <w:rsid w:val="004A36B0"/>
    <w:rsid w:val="004B1C3F"/>
    <w:rsid w:val="004B612F"/>
    <w:rsid w:val="004C1C2B"/>
    <w:rsid w:val="004C1D97"/>
    <w:rsid w:val="004C2B33"/>
    <w:rsid w:val="004C411F"/>
    <w:rsid w:val="004D3794"/>
    <w:rsid w:val="004D385D"/>
    <w:rsid w:val="004D4BA7"/>
    <w:rsid w:val="004E03A2"/>
    <w:rsid w:val="004E2CD0"/>
    <w:rsid w:val="004F2C94"/>
    <w:rsid w:val="004F6BDD"/>
    <w:rsid w:val="00501ABE"/>
    <w:rsid w:val="00504A72"/>
    <w:rsid w:val="005104EB"/>
    <w:rsid w:val="00510FAB"/>
    <w:rsid w:val="00512032"/>
    <w:rsid w:val="00512D2E"/>
    <w:rsid w:val="00516C49"/>
    <w:rsid w:val="0052089E"/>
    <w:rsid w:val="00521959"/>
    <w:rsid w:val="00522350"/>
    <w:rsid w:val="00525067"/>
    <w:rsid w:val="00530CE8"/>
    <w:rsid w:val="00530DD0"/>
    <w:rsid w:val="00532636"/>
    <w:rsid w:val="00533517"/>
    <w:rsid w:val="0053547F"/>
    <w:rsid w:val="00537B2D"/>
    <w:rsid w:val="00546037"/>
    <w:rsid w:val="005468DD"/>
    <w:rsid w:val="005503A4"/>
    <w:rsid w:val="0055277A"/>
    <w:rsid w:val="0055537B"/>
    <w:rsid w:val="0055558D"/>
    <w:rsid w:val="0056222F"/>
    <w:rsid w:val="0056252B"/>
    <w:rsid w:val="00562FA3"/>
    <w:rsid w:val="00565558"/>
    <w:rsid w:val="005701D5"/>
    <w:rsid w:val="00574924"/>
    <w:rsid w:val="00582921"/>
    <w:rsid w:val="00586499"/>
    <w:rsid w:val="00587D6B"/>
    <w:rsid w:val="005906D7"/>
    <w:rsid w:val="00592148"/>
    <w:rsid w:val="00594217"/>
    <w:rsid w:val="00594C87"/>
    <w:rsid w:val="005A1A61"/>
    <w:rsid w:val="005A5B52"/>
    <w:rsid w:val="005A5BE1"/>
    <w:rsid w:val="005B1129"/>
    <w:rsid w:val="005B1AE0"/>
    <w:rsid w:val="005B4336"/>
    <w:rsid w:val="005C04C6"/>
    <w:rsid w:val="005C3EC2"/>
    <w:rsid w:val="005C7893"/>
    <w:rsid w:val="005D3D19"/>
    <w:rsid w:val="005D6755"/>
    <w:rsid w:val="005D6ACF"/>
    <w:rsid w:val="005E00B3"/>
    <w:rsid w:val="005E417A"/>
    <w:rsid w:val="005E5E19"/>
    <w:rsid w:val="005F1184"/>
    <w:rsid w:val="005F4735"/>
    <w:rsid w:val="005F5397"/>
    <w:rsid w:val="005F573B"/>
    <w:rsid w:val="005F5E1B"/>
    <w:rsid w:val="006026D0"/>
    <w:rsid w:val="006062EC"/>
    <w:rsid w:val="00610194"/>
    <w:rsid w:val="006101D8"/>
    <w:rsid w:val="0062686F"/>
    <w:rsid w:val="00630EF0"/>
    <w:rsid w:val="006334F1"/>
    <w:rsid w:val="00634A3E"/>
    <w:rsid w:val="00635AD3"/>
    <w:rsid w:val="006376EE"/>
    <w:rsid w:val="0064386F"/>
    <w:rsid w:val="00643FE8"/>
    <w:rsid w:val="006511D8"/>
    <w:rsid w:val="00657826"/>
    <w:rsid w:val="006617A3"/>
    <w:rsid w:val="0066504F"/>
    <w:rsid w:val="00670394"/>
    <w:rsid w:val="0067423E"/>
    <w:rsid w:val="00693770"/>
    <w:rsid w:val="00695651"/>
    <w:rsid w:val="006B0849"/>
    <w:rsid w:val="006B4896"/>
    <w:rsid w:val="006C0893"/>
    <w:rsid w:val="006C3A66"/>
    <w:rsid w:val="006C554D"/>
    <w:rsid w:val="006D0BCF"/>
    <w:rsid w:val="006D4F6E"/>
    <w:rsid w:val="006D6523"/>
    <w:rsid w:val="006E503A"/>
    <w:rsid w:val="006E50A8"/>
    <w:rsid w:val="006E5415"/>
    <w:rsid w:val="006E62C7"/>
    <w:rsid w:val="006E6D81"/>
    <w:rsid w:val="006E72F4"/>
    <w:rsid w:val="006F7478"/>
    <w:rsid w:val="0070716C"/>
    <w:rsid w:val="00707214"/>
    <w:rsid w:val="007078A5"/>
    <w:rsid w:val="00714A34"/>
    <w:rsid w:val="007204CC"/>
    <w:rsid w:val="007224F6"/>
    <w:rsid w:val="00722AB0"/>
    <w:rsid w:val="007247E0"/>
    <w:rsid w:val="00725676"/>
    <w:rsid w:val="00746789"/>
    <w:rsid w:val="00750EEE"/>
    <w:rsid w:val="0075332C"/>
    <w:rsid w:val="007575EE"/>
    <w:rsid w:val="00760CF9"/>
    <w:rsid w:val="00764CFD"/>
    <w:rsid w:val="00765C21"/>
    <w:rsid w:val="00765E54"/>
    <w:rsid w:val="0077100A"/>
    <w:rsid w:val="00772020"/>
    <w:rsid w:val="0077603E"/>
    <w:rsid w:val="0078638E"/>
    <w:rsid w:val="00786AAB"/>
    <w:rsid w:val="00786D85"/>
    <w:rsid w:val="00790562"/>
    <w:rsid w:val="00796241"/>
    <w:rsid w:val="00796DEF"/>
    <w:rsid w:val="00797476"/>
    <w:rsid w:val="007A6460"/>
    <w:rsid w:val="007B0551"/>
    <w:rsid w:val="007C34E0"/>
    <w:rsid w:val="007C4EAD"/>
    <w:rsid w:val="007D118C"/>
    <w:rsid w:val="007D1864"/>
    <w:rsid w:val="007E1D34"/>
    <w:rsid w:val="007E3CF3"/>
    <w:rsid w:val="007E48AE"/>
    <w:rsid w:val="007E72B0"/>
    <w:rsid w:val="007F2342"/>
    <w:rsid w:val="007F7148"/>
    <w:rsid w:val="00804107"/>
    <w:rsid w:val="0081282E"/>
    <w:rsid w:val="008131F6"/>
    <w:rsid w:val="00815B42"/>
    <w:rsid w:val="00825E07"/>
    <w:rsid w:val="00826376"/>
    <w:rsid w:val="00830909"/>
    <w:rsid w:val="008338A3"/>
    <w:rsid w:val="00833CF3"/>
    <w:rsid w:val="00835578"/>
    <w:rsid w:val="00837BA3"/>
    <w:rsid w:val="00840DFA"/>
    <w:rsid w:val="00843905"/>
    <w:rsid w:val="0084484B"/>
    <w:rsid w:val="008453C0"/>
    <w:rsid w:val="00845C67"/>
    <w:rsid w:val="00850774"/>
    <w:rsid w:val="008536F0"/>
    <w:rsid w:val="00853A2C"/>
    <w:rsid w:val="00856732"/>
    <w:rsid w:val="00856E3B"/>
    <w:rsid w:val="008662B3"/>
    <w:rsid w:val="00871077"/>
    <w:rsid w:val="00882333"/>
    <w:rsid w:val="008864F8"/>
    <w:rsid w:val="00891C40"/>
    <w:rsid w:val="00896F9D"/>
    <w:rsid w:val="008A024B"/>
    <w:rsid w:val="008A43A0"/>
    <w:rsid w:val="008A5538"/>
    <w:rsid w:val="008A618B"/>
    <w:rsid w:val="008B33B9"/>
    <w:rsid w:val="008B3F15"/>
    <w:rsid w:val="008B4C6F"/>
    <w:rsid w:val="008B4F8E"/>
    <w:rsid w:val="008B7F33"/>
    <w:rsid w:val="008C093A"/>
    <w:rsid w:val="008C3B14"/>
    <w:rsid w:val="008C4D03"/>
    <w:rsid w:val="008C6B54"/>
    <w:rsid w:val="008D6417"/>
    <w:rsid w:val="008D6B6B"/>
    <w:rsid w:val="008D6CD4"/>
    <w:rsid w:val="008F4407"/>
    <w:rsid w:val="009061CD"/>
    <w:rsid w:val="009102F6"/>
    <w:rsid w:val="009127DB"/>
    <w:rsid w:val="00913188"/>
    <w:rsid w:val="00915B4A"/>
    <w:rsid w:val="00916351"/>
    <w:rsid w:val="0092207F"/>
    <w:rsid w:val="0092410B"/>
    <w:rsid w:val="0092746E"/>
    <w:rsid w:val="009277C4"/>
    <w:rsid w:val="00930BBD"/>
    <w:rsid w:val="00931EE8"/>
    <w:rsid w:val="0093533E"/>
    <w:rsid w:val="009357B4"/>
    <w:rsid w:val="00935CEE"/>
    <w:rsid w:val="00944E86"/>
    <w:rsid w:val="009457C0"/>
    <w:rsid w:val="0094631C"/>
    <w:rsid w:val="009519EB"/>
    <w:rsid w:val="009549A0"/>
    <w:rsid w:val="00955CFD"/>
    <w:rsid w:val="00956A8D"/>
    <w:rsid w:val="00960810"/>
    <w:rsid w:val="0096349A"/>
    <w:rsid w:val="00967680"/>
    <w:rsid w:val="00967E61"/>
    <w:rsid w:val="009715B1"/>
    <w:rsid w:val="00974EF7"/>
    <w:rsid w:val="009751E7"/>
    <w:rsid w:val="0097690D"/>
    <w:rsid w:val="00981950"/>
    <w:rsid w:val="009837E9"/>
    <w:rsid w:val="00984196"/>
    <w:rsid w:val="00985E0C"/>
    <w:rsid w:val="0098603A"/>
    <w:rsid w:val="00986F5A"/>
    <w:rsid w:val="00997BED"/>
    <w:rsid w:val="009A0C38"/>
    <w:rsid w:val="009A6E88"/>
    <w:rsid w:val="009B1FF0"/>
    <w:rsid w:val="009C294B"/>
    <w:rsid w:val="009D31CE"/>
    <w:rsid w:val="009D3BE3"/>
    <w:rsid w:val="009E5353"/>
    <w:rsid w:val="009E74B2"/>
    <w:rsid w:val="009E7D23"/>
    <w:rsid w:val="009F4A07"/>
    <w:rsid w:val="009F5912"/>
    <w:rsid w:val="00A06531"/>
    <w:rsid w:val="00A100A1"/>
    <w:rsid w:val="00A110BC"/>
    <w:rsid w:val="00A12982"/>
    <w:rsid w:val="00A13CC9"/>
    <w:rsid w:val="00A145CA"/>
    <w:rsid w:val="00A15AAE"/>
    <w:rsid w:val="00A16920"/>
    <w:rsid w:val="00A25011"/>
    <w:rsid w:val="00A25ABA"/>
    <w:rsid w:val="00A309E0"/>
    <w:rsid w:val="00A361BD"/>
    <w:rsid w:val="00A46A8C"/>
    <w:rsid w:val="00A514E5"/>
    <w:rsid w:val="00A6574F"/>
    <w:rsid w:val="00A72054"/>
    <w:rsid w:val="00A768F4"/>
    <w:rsid w:val="00A7738D"/>
    <w:rsid w:val="00A77730"/>
    <w:rsid w:val="00A85AF7"/>
    <w:rsid w:val="00A861C5"/>
    <w:rsid w:val="00A86F2E"/>
    <w:rsid w:val="00A87A8D"/>
    <w:rsid w:val="00A90678"/>
    <w:rsid w:val="00A91ADC"/>
    <w:rsid w:val="00A938AF"/>
    <w:rsid w:val="00AA1B17"/>
    <w:rsid w:val="00AB3C52"/>
    <w:rsid w:val="00AB7157"/>
    <w:rsid w:val="00AC0D88"/>
    <w:rsid w:val="00AC1208"/>
    <w:rsid w:val="00AC385F"/>
    <w:rsid w:val="00AC3FDD"/>
    <w:rsid w:val="00AC50F5"/>
    <w:rsid w:val="00AC7F95"/>
    <w:rsid w:val="00AD6506"/>
    <w:rsid w:val="00AE410C"/>
    <w:rsid w:val="00AE7FBB"/>
    <w:rsid w:val="00AF2202"/>
    <w:rsid w:val="00AF44B0"/>
    <w:rsid w:val="00B0114F"/>
    <w:rsid w:val="00B013CB"/>
    <w:rsid w:val="00B13133"/>
    <w:rsid w:val="00B17DA4"/>
    <w:rsid w:val="00B2067D"/>
    <w:rsid w:val="00B21585"/>
    <w:rsid w:val="00B24675"/>
    <w:rsid w:val="00B24763"/>
    <w:rsid w:val="00B24B16"/>
    <w:rsid w:val="00B26DFB"/>
    <w:rsid w:val="00B34405"/>
    <w:rsid w:val="00B3633B"/>
    <w:rsid w:val="00B40C37"/>
    <w:rsid w:val="00B41609"/>
    <w:rsid w:val="00B421F8"/>
    <w:rsid w:val="00B44EF5"/>
    <w:rsid w:val="00B4620A"/>
    <w:rsid w:val="00B565FA"/>
    <w:rsid w:val="00B56AC0"/>
    <w:rsid w:val="00B570B2"/>
    <w:rsid w:val="00B6245E"/>
    <w:rsid w:val="00B62B73"/>
    <w:rsid w:val="00B729FD"/>
    <w:rsid w:val="00B76074"/>
    <w:rsid w:val="00B76318"/>
    <w:rsid w:val="00B81801"/>
    <w:rsid w:val="00B82AAE"/>
    <w:rsid w:val="00B8408F"/>
    <w:rsid w:val="00B86D45"/>
    <w:rsid w:val="00B962A8"/>
    <w:rsid w:val="00BA3679"/>
    <w:rsid w:val="00BA5C60"/>
    <w:rsid w:val="00BA689A"/>
    <w:rsid w:val="00BB4AE8"/>
    <w:rsid w:val="00BB5FE6"/>
    <w:rsid w:val="00BD3B99"/>
    <w:rsid w:val="00BE6A90"/>
    <w:rsid w:val="00BF28C7"/>
    <w:rsid w:val="00C05D52"/>
    <w:rsid w:val="00C14B70"/>
    <w:rsid w:val="00C16D01"/>
    <w:rsid w:val="00C2236A"/>
    <w:rsid w:val="00C252AE"/>
    <w:rsid w:val="00C26748"/>
    <w:rsid w:val="00C27AEC"/>
    <w:rsid w:val="00C27DBE"/>
    <w:rsid w:val="00C3232F"/>
    <w:rsid w:val="00C3634D"/>
    <w:rsid w:val="00C44FC1"/>
    <w:rsid w:val="00C45C2B"/>
    <w:rsid w:val="00C463B6"/>
    <w:rsid w:val="00C51A3E"/>
    <w:rsid w:val="00C525A9"/>
    <w:rsid w:val="00C53073"/>
    <w:rsid w:val="00C60AF5"/>
    <w:rsid w:val="00C66C00"/>
    <w:rsid w:val="00C66CB1"/>
    <w:rsid w:val="00C6744A"/>
    <w:rsid w:val="00C674DB"/>
    <w:rsid w:val="00C7161B"/>
    <w:rsid w:val="00C7294F"/>
    <w:rsid w:val="00C7380F"/>
    <w:rsid w:val="00C738AE"/>
    <w:rsid w:val="00C760E0"/>
    <w:rsid w:val="00C77966"/>
    <w:rsid w:val="00C92063"/>
    <w:rsid w:val="00C95E8F"/>
    <w:rsid w:val="00CA7329"/>
    <w:rsid w:val="00CB4435"/>
    <w:rsid w:val="00CC536B"/>
    <w:rsid w:val="00CC6C64"/>
    <w:rsid w:val="00CD0390"/>
    <w:rsid w:val="00CD049E"/>
    <w:rsid w:val="00CD3B2E"/>
    <w:rsid w:val="00CE0617"/>
    <w:rsid w:val="00CE2144"/>
    <w:rsid w:val="00CE504F"/>
    <w:rsid w:val="00CE6DE8"/>
    <w:rsid w:val="00CF14DD"/>
    <w:rsid w:val="00D10428"/>
    <w:rsid w:val="00D10504"/>
    <w:rsid w:val="00D1201D"/>
    <w:rsid w:val="00D122FA"/>
    <w:rsid w:val="00D123A9"/>
    <w:rsid w:val="00D22664"/>
    <w:rsid w:val="00D241BA"/>
    <w:rsid w:val="00D2626C"/>
    <w:rsid w:val="00D2698E"/>
    <w:rsid w:val="00D4583F"/>
    <w:rsid w:val="00D57D37"/>
    <w:rsid w:val="00D61146"/>
    <w:rsid w:val="00D82190"/>
    <w:rsid w:val="00D828BA"/>
    <w:rsid w:val="00D84FA6"/>
    <w:rsid w:val="00D90F0F"/>
    <w:rsid w:val="00D91242"/>
    <w:rsid w:val="00D9732C"/>
    <w:rsid w:val="00DA267D"/>
    <w:rsid w:val="00DA507C"/>
    <w:rsid w:val="00DA6E88"/>
    <w:rsid w:val="00DB1430"/>
    <w:rsid w:val="00DC1407"/>
    <w:rsid w:val="00DC6DCA"/>
    <w:rsid w:val="00DD3852"/>
    <w:rsid w:val="00DD5062"/>
    <w:rsid w:val="00DE1E29"/>
    <w:rsid w:val="00DE47E1"/>
    <w:rsid w:val="00DE5047"/>
    <w:rsid w:val="00DE682D"/>
    <w:rsid w:val="00DF44D9"/>
    <w:rsid w:val="00DF4800"/>
    <w:rsid w:val="00DF610E"/>
    <w:rsid w:val="00E12CC9"/>
    <w:rsid w:val="00E2192E"/>
    <w:rsid w:val="00E267AA"/>
    <w:rsid w:val="00E33132"/>
    <w:rsid w:val="00E3414D"/>
    <w:rsid w:val="00E4149E"/>
    <w:rsid w:val="00E42614"/>
    <w:rsid w:val="00E443A2"/>
    <w:rsid w:val="00E44CC7"/>
    <w:rsid w:val="00E4532C"/>
    <w:rsid w:val="00E50B6A"/>
    <w:rsid w:val="00E55A3B"/>
    <w:rsid w:val="00E56A8B"/>
    <w:rsid w:val="00E6770F"/>
    <w:rsid w:val="00E71D3E"/>
    <w:rsid w:val="00E81F80"/>
    <w:rsid w:val="00E838E0"/>
    <w:rsid w:val="00E91989"/>
    <w:rsid w:val="00E93BCC"/>
    <w:rsid w:val="00E95C1E"/>
    <w:rsid w:val="00EA143D"/>
    <w:rsid w:val="00EA4F2B"/>
    <w:rsid w:val="00EA5E21"/>
    <w:rsid w:val="00EA7DFF"/>
    <w:rsid w:val="00EB352F"/>
    <w:rsid w:val="00EC2A90"/>
    <w:rsid w:val="00EC366F"/>
    <w:rsid w:val="00EC3F85"/>
    <w:rsid w:val="00EC4988"/>
    <w:rsid w:val="00EC4D63"/>
    <w:rsid w:val="00EC5FC2"/>
    <w:rsid w:val="00ED0340"/>
    <w:rsid w:val="00ED06A0"/>
    <w:rsid w:val="00ED2C70"/>
    <w:rsid w:val="00ED7C97"/>
    <w:rsid w:val="00EE1030"/>
    <w:rsid w:val="00EE2355"/>
    <w:rsid w:val="00EE5913"/>
    <w:rsid w:val="00EF132D"/>
    <w:rsid w:val="00EF5EEA"/>
    <w:rsid w:val="00EF70E8"/>
    <w:rsid w:val="00F0370E"/>
    <w:rsid w:val="00F106AD"/>
    <w:rsid w:val="00F10B72"/>
    <w:rsid w:val="00F16488"/>
    <w:rsid w:val="00F16B19"/>
    <w:rsid w:val="00F21E20"/>
    <w:rsid w:val="00F266E1"/>
    <w:rsid w:val="00F26B37"/>
    <w:rsid w:val="00F40BA3"/>
    <w:rsid w:val="00F41819"/>
    <w:rsid w:val="00F45493"/>
    <w:rsid w:val="00F53559"/>
    <w:rsid w:val="00F6265F"/>
    <w:rsid w:val="00F62B8F"/>
    <w:rsid w:val="00F77BA3"/>
    <w:rsid w:val="00F819E9"/>
    <w:rsid w:val="00F838C1"/>
    <w:rsid w:val="00F83EBB"/>
    <w:rsid w:val="00F920AD"/>
    <w:rsid w:val="00F97A74"/>
    <w:rsid w:val="00FA41FA"/>
    <w:rsid w:val="00FA5C63"/>
    <w:rsid w:val="00FB056A"/>
    <w:rsid w:val="00FB128B"/>
    <w:rsid w:val="00FB139B"/>
    <w:rsid w:val="00FC0FD1"/>
    <w:rsid w:val="00FC12EF"/>
    <w:rsid w:val="00FC3D77"/>
    <w:rsid w:val="00FC59A5"/>
    <w:rsid w:val="00FC6E5A"/>
    <w:rsid w:val="00FC702C"/>
    <w:rsid w:val="00FD1153"/>
    <w:rsid w:val="00FD3665"/>
    <w:rsid w:val="00FD3CF3"/>
    <w:rsid w:val="00FD62F7"/>
    <w:rsid w:val="00FD7E83"/>
    <w:rsid w:val="00FE6027"/>
    <w:rsid w:val="00FF0522"/>
    <w:rsid w:val="00FF0E4E"/>
    <w:rsid w:val="00FF4041"/>
    <w:rsid w:val="00FF738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41C084"/>
  <w15:chartTrackingRefBased/>
  <w15:docId w15:val="{5A312A43-35E8-4FF4-BE74-DA8570447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3C268C"/>
    <w:pPr>
      <w:keepNext/>
      <w:keepLines/>
      <w:numPr>
        <w:numId w:val="1"/>
      </w:numPr>
      <w:spacing w:before="360" w:after="80" w:line="240" w:lineRule="auto"/>
      <w:outlineLvl w:val="0"/>
    </w:pPr>
    <w:rPr>
      <w:rFonts w:asciiTheme="majorHAnsi" w:eastAsiaTheme="majorEastAsia" w:hAnsiTheme="majorHAnsi" w:cstheme="majorBidi"/>
      <w:color w:val="2E74B5" w:themeColor="accent1" w:themeShade="BF"/>
      <w:kern w:val="2"/>
      <w:sz w:val="40"/>
      <w:szCs w:val="40"/>
      <w:lang w:val="de-CH"/>
      <w14:ligatures w14:val="standardContextual"/>
    </w:rPr>
  </w:style>
  <w:style w:type="paragraph" w:styleId="berschrift2">
    <w:name w:val="heading 2"/>
    <w:basedOn w:val="Standard"/>
    <w:next w:val="Standard"/>
    <w:link w:val="berschrift2Zchn"/>
    <w:uiPriority w:val="9"/>
    <w:unhideWhenUsed/>
    <w:qFormat/>
    <w:rsid w:val="003C268C"/>
    <w:pPr>
      <w:keepNext/>
      <w:keepLines/>
      <w:numPr>
        <w:ilvl w:val="1"/>
        <w:numId w:val="1"/>
      </w:numPr>
      <w:spacing w:before="160" w:after="80" w:line="240" w:lineRule="auto"/>
      <w:outlineLvl w:val="1"/>
    </w:pPr>
    <w:rPr>
      <w:rFonts w:asciiTheme="majorHAnsi" w:eastAsiaTheme="majorEastAsia" w:hAnsiTheme="majorHAnsi" w:cstheme="majorBidi"/>
      <w:color w:val="2E74B5" w:themeColor="accent1" w:themeShade="BF"/>
      <w:kern w:val="2"/>
      <w:sz w:val="32"/>
      <w:szCs w:val="32"/>
      <w:lang w:val="de-CH"/>
      <w14:ligatures w14:val="standardContextual"/>
    </w:rPr>
  </w:style>
  <w:style w:type="paragraph" w:styleId="berschrift3">
    <w:name w:val="heading 3"/>
    <w:basedOn w:val="Standard"/>
    <w:next w:val="Standard"/>
    <w:link w:val="berschrift3Zchn"/>
    <w:uiPriority w:val="9"/>
    <w:unhideWhenUsed/>
    <w:qFormat/>
    <w:rsid w:val="003C268C"/>
    <w:pPr>
      <w:keepNext/>
      <w:keepLines/>
      <w:numPr>
        <w:ilvl w:val="2"/>
        <w:numId w:val="1"/>
      </w:numPr>
      <w:spacing w:before="160" w:after="80" w:line="240" w:lineRule="auto"/>
      <w:outlineLvl w:val="2"/>
    </w:pPr>
    <w:rPr>
      <w:rFonts w:eastAsiaTheme="majorEastAsia" w:cstheme="majorBidi"/>
      <w:color w:val="2E74B5" w:themeColor="accent1" w:themeShade="BF"/>
      <w:kern w:val="2"/>
      <w:sz w:val="28"/>
      <w:szCs w:val="28"/>
      <w:lang w:val="de-CH"/>
      <w14:ligatures w14:val="standardContextual"/>
    </w:rPr>
  </w:style>
  <w:style w:type="paragraph" w:styleId="berschrift4">
    <w:name w:val="heading 4"/>
    <w:basedOn w:val="Standard"/>
    <w:next w:val="Standard"/>
    <w:link w:val="berschrift4Zchn"/>
    <w:uiPriority w:val="9"/>
    <w:unhideWhenUsed/>
    <w:qFormat/>
    <w:rsid w:val="003C268C"/>
    <w:pPr>
      <w:keepNext/>
      <w:keepLines/>
      <w:numPr>
        <w:ilvl w:val="3"/>
        <w:numId w:val="1"/>
      </w:numPr>
      <w:spacing w:before="80" w:after="40" w:line="240" w:lineRule="auto"/>
      <w:outlineLvl w:val="3"/>
    </w:pPr>
    <w:rPr>
      <w:rFonts w:eastAsiaTheme="majorEastAsia" w:cstheme="majorBidi"/>
      <w:i/>
      <w:iCs/>
      <w:color w:val="2E74B5" w:themeColor="accent1" w:themeShade="BF"/>
      <w:kern w:val="2"/>
      <w:sz w:val="24"/>
      <w:szCs w:val="24"/>
      <w:lang w:val="de-CH"/>
      <w14:ligatures w14:val="standardContextual"/>
    </w:rPr>
  </w:style>
  <w:style w:type="paragraph" w:styleId="berschrift5">
    <w:name w:val="heading 5"/>
    <w:basedOn w:val="Standard"/>
    <w:next w:val="Standard"/>
    <w:link w:val="berschrift5Zchn"/>
    <w:uiPriority w:val="9"/>
    <w:semiHidden/>
    <w:unhideWhenUsed/>
    <w:qFormat/>
    <w:rsid w:val="003C268C"/>
    <w:pPr>
      <w:keepNext/>
      <w:keepLines/>
      <w:numPr>
        <w:ilvl w:val="4"/>
        <w:numId w:val="1"/>
      </w:numPr>
      <w:spacing w:before="80" w:after="40" w:line="240" w:lineRule="auto"/>
      <w:outlineLvl w:val="4"/>
    </w:pPr>
    <w:rPr>
      <w:rFonts w:eastAsiaTheme="majorEastAsia" w:cstheme="majorBidi"/>
      <w:color w:val="2E74B5" w:themeColor="accent1" w:themeShade="BF"/>
      <w:kern w:val="2"/>
      <w:sz w:val="24"/>
      <w:szCs w:val="24"/>
      <w:lang w:val="de-CH"/>
      <w14:ligatures w14:val="standardContextual"/>
    </w:rPr>
  </w:style>
  <w:style w:type="paragraph" w:styleId="berschrift6">
    <w:name w:val="heading 6"/>
    <w:basedOn w:val="Standard"/>
    <w:next w:val="Standard"/>
    <w:link w:val="berschrift6Zchn"/>
    <w:uiPriority w:val="9"/>
    <w:semiHidden/>
    <w:unhideWhenUsed/>
    <w:qFormat/>
    <w:rsid w:val="003C268C"/>
    <w:pPr>
      <w:keepNext/>
      <w:keepLines/>
      <w:numPr>
        <w:ilvl w:val="5"/>
        <w:numId w:val="1"/>
      </w:numPr>
      <w:spacing w:before="40" w:after="0" w:line="240" w:lineRule="auto"/>
      <w:outlineLvl w:val="5"/>
    </w:pPr>
    <w:rPr>
      <w:rFonts w:eastAsiaTheme="majorEastAsia" w:cstheme="majorBidi"/>
      <w:i/>
      <w:iCs/>
      <w:color w:val="595959" w:themeColor="text1" w:themeTint="A6"/>
      <w:kern w:val="2"/>
      <w:sz w:val="24"/>
      <w:szCs w:val="24"/>
      <w:lang w:val="de-CH"/>
      <w14:ligatures w14:val="standardContextual"/>
    </w:rPr>
  </w:style>
  <w:style w:type="paragraph" w:styleId="berschrift7">
    <w:name w:val="heading 7"/>
    <w:basedOn w:val="Standard"/>
    <w:next w:val="Standard"/>
    <w:link w:val="berschrift7Zchn"/>
    <w:uiPriority w:val="9"/>
    <w:semiHidden/>
    <w:unhideWhenUsed/>
    <w:qFormat/>
    <w:rsid w:val="003C268C"/>
    <w:pPr>
      <w:keepNext/>
      <w:keepLines/>
      <w:numPr>
        <w:ilvl w:val="6"/>
        <w:numId w:val="1"/>
      </w:numPr>
      <w:spacing w:before="40" w:after="0" w:line="240" w:lineRule="auto"/>
      <w:outlineLvl w:val="6"/>
    </w:pPr>
    <w:rPr>
      <w:rFonts w:eastAsiaTheme="majorEastAsia" w:cstheme="majorBidi"/>
      <w:color w:val="595959" w:themeColor="text1" w:themeTint="A6"/>
      <w:kern w:val="2"/>
      <w:sz w:val="24"/>
      <w:szCs w:val="24"/>
      <w:lang w:val="de-CH"/>
      <w14:ligatures w14:val="standardContextual"/>
    </w:rPr>
  </w:style>
  <w:style w:type="paragraph" w:styleId="berschrift8">
    <w:name w:val="heading 8"/>
    <w:basedOn w:val="Standard"/>
    <w:next w:val="Standard"/>
    <w:link w:val="berschrift8Zchn"/>
    <w:uiPriority w:val="9"/>
    <w:semiHidden/>
    <w:unhideWhenUsed/>
    <w:qFormat/>
    <w:rsid w:val="003C268C"/>
    <w:pPr>
      <w:keepNext/>
      <w:keepLines/>
      <w:numPr>
        <w:ilvl w:val="7"/>
        <w:numId w:val="1"/>
      </w:numPr>
      <w:spacing w:after="0" w:line="240" w:lineRule="auto"/>
      <w:outlineLvl w:val="7"/>
    </w:pPr>
    <w:rPr>
      <w:rFonts w:eastAsiaTheme="majorEastAsia" w:cstheme="majorBidi"/>
      <w:i/>
      <w:iCs/>
      <w:color w:val="272727" w:themeColor="text1" w:themeTint="D8"/>
      <w:kern w:val="2"/>
      <w:sz w:val="24"/>
      <w:szCs w:val="24"/>
      <w:lang w:val="de-CH"/>
      <w14:ligatures w14:val="standardContextual"/>
    </w:rPr>
  </w:style>
  <w:style w:type="paragraph" w:styleId="berschrift9">
    <w:name w:val="heading 9"/>
    <w:basedOn w:val="Standard"/>
    <w:next w:val="Standard"/>
    <w:link w:val="berschrift9Zchn"/>
    <w:uiPriority w:val="9"/>
    <w:semiHidden/>
    <w:unhideWhenUsed/>
    <w:qFormat/>
    <w:rsid w:val="003C268C"/>
    <w:pPr>
      <w:keepNext/>
      <w:keepLines/>
      <w:numPr>
        <w:ilvl w:val="8"/>
        <w:numId w:val="1"/>
      </w:numPr>
      <w:spacing w:after="0" w:line="240" w:lineRule="auto"/>
      <w:outlineLvl w:val="8"/>
    </w:pPr>
    <w:rPr>
      <w:rFonts w:eastAsiaTheme="majorEastAsia" w:cstheme="majorBidi"/>
      <w:color w:val="272727" w:themeColor="text1" w:themeTint="D8"/>
      <w:kern w:val="2"/>
      <w:sz w:val="24"/>
      <w:szCs w:val="24"/>
      <w:lang w:val="de-CH"/>
      <w14:ligatures w14:val="standardContextu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BD3B99"/>
    <w:rPr>
      <w:color w:val="0563C1" w:themeColor="hyperlink"/>
      <w:u w:val="single"/>
    </w:rPr>
  </w:style>
  <w:style w:type="character" w:styleId="Kommentarzeichen">
    <w:name w:val="annotation reference"/>
    <w:basedOn w:val="Absatz-Standardschriftart"/>
    <w:uiPriority w:val="99"/>
    <w:semiHidden/>
    <w:unhideWhenUsed/>
    <w:rsid w:val="008B4C6F"/>
    <w:rPr>
      <w:sz w:val="16"/>
      <w:szCs w:val="16"/>
    </w:rPr>
  </w:style>
  <w:style w:type="paragraph" w:styleId="Kommentartext">
    <w:name w:val="annotation text"/>
    <w:basedOn w:val="Standard"/>
    <w:link w:val="KommentartextZchn"/>
    <w:uiPriority w:val="99"/>
    <w:unhideWhenUsed/>
    <w:rsid w:val="008B4C6F"/>
    <w:pPr>
      <w:spacing w:line="240" w:lineRule="auto"/>
    </w:pPr>
    <w:rPr>
      <w:sz w:val="20"/>
      <w:szCs w:val="20"/>
    </w:rPr>
  </w:style>
  <w:style w:type="character" w:customStyle="1" w:styleId="KommentartextZchn">
    <w:name w:val="Kommentartext Zchn"/>
    <w:basedOn w:val="Absatz-Standardschriftart"/>
    <w:link w:val="Kommentartext"/>
    <w:uiPriority w:val="99"/>
    <w:rsid w:val="008B4C6F"/>
    <w:rPr>
      <w:sz w:val="20"/>
      <w:szCs w:val="20"/>
    </w:rPr>
  </w:style>
  <w:style w:type="paragraph" w:styleId="Kommentarthema">
    <w:name w:val="annotation subject"/>
    <w:basedOn w:val="Kommentartext"/>
    <w:next w:val="Kommentartext"/>
    <w:link w:val="KommentarthemaZchn"/>
    <w:uiPriority w:val="99"/>
    <w:semiHidden/>
    <w:unhideWhenUsed/>
    <w:rsid w:val="008B4C6F"/>
    <w:rPr>
      <w:b/>
      <w:bCs/>
    </w:rPr>
  </w:style>
  <w:style w:type="character" w:customStyle="1" w:styleId="KommentarthemaZchn">
    <w:name w:val="Kommentarthema Zchn"/>
    <w:basedOn w:val="KommentartextZchn"/>
    <w:link w:val="Kommentarthema"/>
    <w:uiPriority w:val="99"/>
    <w:semiHidden/>
    <w:rsid w:val="008B4C6F"/>
    <w:rPr>
      <w:b/>
      <w:bCs/>
      <w:sz w:val="20"/>
      <w:szCs w:val="20"/>
    </w:rPr>
  </w:style>
  <w:style w:type="paragraph" w:styleId="Sprechblasentext">
    <w:name w:val="Balloon Text"/>
    <w:basedOn w:val="Standard"/>
    <w:link w:val="SprechblasentextZchn"/>
    <w:uiPriority w:val="99"/>
    <w:semiHidden/>
    <w:unhideWhenUsed/>
    <w:rsid w:val="008B4C6F"/>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B4C6F"/>
    <w:rPr>
      <w:rFonts w:ascii="Segoe UI" w:hAnsi="Segoe UI" w:cs="Segoe UI"/>
      <w:sz w:val="18"/>
      <w:szCs w:val="18"/>
    </w:rPr>
  </w:style>
  <w:style w:type="paragraph" w:styleId="Kopfzeile">
    <w:name w:val="header"/>
    <w:basedOn w:val="Standard"/>
    <w:link w:val="KopfzeileZchn"/>
    <w:uiPriority w:val="99"/>
    <w:unhideWhenUsed/>
    <w:rsid w:val="008B4C6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B4C6F"/>
  </w:style>
  <w:style w:type="paragraph" w:styleId="Fuzeile">
    <w:name w:val="footer"/>
    <w:basedOn w:val="Standard"/>
    <w:link w:val="FuzeileZchn"/>
    <w:uiPriority w:val="99"/>
    <w:unhideWhenUsed/>
    <w:rsid w:val="008B4C6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B4C6F"/>
  </w:style>
  <w:style w:type="character" w:customStyle="1" w:styleId="berschrift1Zchn">
    <w:name w:val="Überschrift 1 Zchn"/>
    <w:basedOn w:val="Absatz-Standardschriftart"/>
    <w:link w:val="berschrift1"/>
    <w:uiPriority w:val="9"/>
    <w:rsid w:val="003C268C"/>
    <w:rPr>
      <w:rFonts w:asciiTheme="majorHAnsi" w:eastAsiaTheme="majorEastAsia" w:hAnsiTheme="majorHAnsi" w:cstheme="majorBidi"/>
      <w:color w:val="2E74B5" w:themeColor="accent1" w:themeShade="BF"/>
      <w:kern w:val="2"/>
      <w:sz w:val="40"/>
      <w:szCs w:val="40"/>
      <w:lang w:val="de-CH"/>
      <w14:ligatures w14:val="standardContextual"/>
    </w:rPr>
  </w:style>
  <w:style w:type="character" w:customStyle="1" w:styleId="berschrift2Zchn">
    <w:name w:val="Überschrift 2 Zchn"/>
    <w:basedOn w:val="Absatz-Standardschriftart"/>
    <w:link w:val="berschrift2"/>
    <w:uiPriority w:val="9"/>
    <w:rsid w:val="003C268C"/>
    <w:rPr>
      <w:rFonts w:asciiTheme="majorHAnsi" w:eastAsiaTheme="majorEastAsia" w:hAnsiTheme="majorHAnsi" w:cstheme="majorBidi"/>
      <w:color w:val="2E74B5" w:themeColor="accent1" w:themeShade="BF"/>
      <w:kern w:val="2"/>
      <w:sz w:val="32"/>
      <w:szCs w:val="32"/>
      <w:lang w:val="de-CH"/>
      <w14:ligatures w14:val="standardContextual"/>
    </w:rPr>
  </w:style>
  <w:style w:type="character" w:customStyle="1" w:styleId="berschrift3Zchn">
    <w:name w:val="Überschrift 3 Zchn"/>
    <w:basedOn w:val="Absatz-Standardschriftart"/>
    <w:link w:val="berschrift3"/>
    <w:uiPriority w:val="9"/>
    <w:rsid w:val="003C268C"/>
    <w:rPr>
      <w:rFonts w:eastAsiaTheme="majorEastAsia" w:cstheme="majorBidi"/>
      <w:color w:val="2E74B5" w:themeColor="accent1" w:themeShade="BF"/>
      <w:kern w:val="2"/>
      <w:sz w:val="28"/>
      <w:szCs w:val="28"/>
      <w:lang w:val="de-CH"/>
      <w14:ligatures w14:val="standardContextual"/>
    </w:rPr>
  </w:style>
  <w:style w:type="character" w:customStyle="1" w:styleId="berschrift4Zchn">
    <w:name w:val="Überschrift 4 Zchn"/>
    <w:basedOn w:val="Absatz-Standardschriftart"/>
    <w:link w:val="berschrift4"/>
    <w:uiPriority w:val="9"/>
    <w:rsid w:val="003C268C"/>
    <w:rPr>
      <w:rFonts w:eastAsiaTheme="majorEastAsia" w:cstheme="majorBidi"/>
      <w:i/>
      <w:iCs/>
      <w:color w:val="2E74B5" w:themeColor="accent1" w:themeShade="BF"/>
      <w:kern w:val="2"/>
      <w:sz w:val="24"/>
      <w:szCs w:val="24"/>
      <w:lang w:val="de-CH"/>
      <w14:ligatures w14:val="standardContextual"/>
    </w:rPr>
  </w:style>
  <w:style w:type="character" w:customStyle="1" w:styleId="berschrift5Zchn">
    <w:name w:val="Überschrift 5 Zchn"/>
    <w:basedOn w:val="Absatz-Standardschriftart"/>
    <w:link w:val="berschrift5"/>
    <w:uiPriority w:val="9"/>
    <w:semiHidden/>
    <w:rsid w:val="003C268C"/>
    <w:rPr>
      <w:rFonts w:eastAsiaTheme="majorEastAsia" w:cstheme="majorBidi"/>
      <w:color w:val="2E74B5" w:themeColor="accent1" w:themeShade="BF"/>
      <w:kern w:val="2"/>
      <w:sz w:val="24"/>
      <w:szCs w:val="24"/>
      <w:lang w:val="de-CH"/>
      <w14:ligatures w14:val="standardContextual"/>
    </w:rPr>
  </w:style>
  <w:style w:type="character" w:customStyle="1" w:styleId="berschrift6Zchn">
    <w:name w:val="Überschrift 6 Zchn"/>
    <w:basedOn w:val="Absatz-Standardschriftart"/>
    <w:link w:val="berschrift6"/>
    <w:uiPriority w:val="9"/>
    <w:semiHidden/>
    <w:rsid w:val="003C268C"/>
    <w:rPr>
      <w:rFonts w:eastAsiaTheme="majorEastAsia" w:cstheme="majorBidi"/>
      <w:i/>
      <w:iCs/>
      <w:color w:val="595959" w:themeColor="text1" w:themeTint="A6"/>
      <w:kern w:val="2"/>
      <w:sz w:val="24"/>
      <w:szCs w:val="24"/>
      <w:lang w:val="de-CH"/>
      <w14:ligatures w14:val="standardContextual"/>
    </w:rPr>
  </w:style>
  <w:style w:type="character" w:customStyle="1" w:styleId="berschrift7Zchn">
    <w:name w:val="Überschrift 7 Zchn"/>
    <w:basedOn w:val="Absatz-Standardschriftart"/>
    <w:link w:val="berschrift7"/>
    <w:uiPriority w:val="9"/>
    <w:semiHidden/>
    <w:rsid w:val="003C268C"/>
    <w:rPr>
      <w:rFonts w:eastAsiaTheme="majorEastAsia" w:cstheme="majorBidi"/>
      <w:color w:val="595959" w:themeColor="text1" w:themeTint="A6"/>
      <w:kern w:val="2"/>
      <w:sz w:val="24"/>
      <w:szCs w:val="24"/>
      <w:lang w:val="de-CH"/>
      <w14:ligatures w14:val="standardContextual"/>
    </w:rPr>
  </w:style>
  <w:style w:type="character" w:customStyle="1" w:styleId="berschrift8Zchn">
    <w:name w:val="Überschrift 8 Zchn"/>
    <w:basedOn w:val="Absatz-Standardschriftart"/>
    <w:link w:val="berschrift8"/>
    <w:uiPriority w:val="9"/>
    <w:semiHidden/>
    <w:rsid w:val="003C268C"/>
    <w:rPr>
      <w:rFonts w:eastAsiaTheme="majorEastAsia" w:cstheme="majorBidi"/>
      <w:i/>
      <w:iCs/>
      <w:color w:val="272727" w:themeColor="text1" w:themeTint="D8"/>
      <w:kern w:val="2"/>
      <w:sz w:val="24"/>
      <w:szCs w:val="24"/>
      <w:lang w:val="de-CH"/>
      <w14:ligatures w14:val="standardContextual"/>
    </w:rPr>
  </w:style>
  <w:style w:type="character" w:customStyle="1" w:styleId="berschrift9Zchn">
    <w:name w:val="Überschrift 9 Zchn"/>
    <w:basedOn w:val="Absatz-Standardschriftart"/>
    <w:link w:val="berschrift9"/>
    <w:uiPriority w:val="9"/>
    <w:semiHidden/>
    <w:rsid w:val="003C268C"/>
    <w:rPr>
      <w:rFonts w:eastAsiaTheme="majorEastAsia" w:cstheme="majorBidi"/>
      <w:color w:val="272727" w:themeColor="text1" w:themeTint="D8"/>
      <w:kern w:val="2"/>
      <w:sz w:val="24"/>
      <w:szCs w:val="24"/>
      <w:lang w:val="de-CH"/>
      <w14:ligatures w14:val="standardContextual"/>
    </w:rPr>
  </w:style>
  <w:style w:type="paragraph" w:styleId="Titel">
    <w:name w:val="Title"/>
    <w:basedOn w:val="Standard"/>
    <w:next w:val="Standard"/>
    <w:link w:val="TitelZchn"/>
    <w:uiPriority w:val="10"/>
    <w:qFormat/>
    <w:rsid w:val="003C268C"/>
    <w:pPr>
      <w:spacing w:after="80" w:line="240" w:lineRule="auto"/>
      <w:contextualSpacing/>
    </w:pPr>
    <w:rPr>
      <w:rFonts w:asciiTheme="majorHAnsi" w:eastAsiaTheme="majorEastAsia" w:hAnsiTheme="majorHAnsi" w:cstheme="majorBidi"/>
      <w:spacing w:val="-10"/>
      <w:kern w:val="28"/>
      <w:sz w:val="56"/>
      <w:szCs w:val="56"/>
      <w:lang w:val="de-CH"/>
      <w14:ligatures w14:val="standardContextual"/>
    </w:rPr>
  </w:style>
  <w:style w:type="character" w:customStyle="1" w:styleId="TitelZchn">
    <w:name w:val="Titel Zchn"/>
    <w:basedOn w:val="Absatz-Standardschriftart"/>
    <w:link w:val="Titel"/>
    <w:uiPriority w:val="10"/>
    <w:rsid w:val="003C268C"/>
    <w:rPr>
      <w:rFonts w:asciiTheme="majorHAnsi" w:eastAsiaTheme="majorEastAsia" w:hAnsiTheme="majorHAnsi" w:cstheme="majorBidi"/>
      <w:spacing w:val="-10"/>
      <w:kern w:val="28"/>
      <w:sz w:val="56"/>
      <w:szCs w:val="56"/>
      <w:lang w:val="de-CH"/>
      <w14:ligatures w14:val="standardContextual"/>
    </w:rPr>
  </w:style>
  <w:style w:type="paragraph" w:styleId="Untertitel">
    <w:name w:val="Subtitle"/>
    <w:basedOn w:val="Standard"/>
    <w:next w:val="Standard"/>
    <w:link w:val="UntertitelZchn"/>
    <w:uiPriority w:val="11"/>
    <w:qFormat/>
    <w:rsid w:val="003C268C"/>
    <w:pPr>
      <w:numPr>
        <w:ilvl w:val="1"/>
      </w:numPr>
      <w:spacing w:line="240" w:lineRule="auto"/>
    </w:pPr>
    <w:rPr>
      <w:rFonts w:eastAsiaTheme="majorEastAsia" w:cstheme="majorBidi"/>
      <w:color w:val="595959" w:themeColor="text1" w:themeTint="A6"/>
      <w:spacing w:val="15"/>
      <w:kern w:val="2"/>
      <w:sz w:val="28"/>
      <w:szCs w:val="28"/>
      <w:lang w:val="de-CH"/>
      <w14:ligatures w14:val="standardContextual"/>
    </w:rPr>
  </w:style>
  <w:style w:type="character" w:customStyle="1" w:styleId="UntertitelZchn">
    <w:name w:val="Untertitel Zchn"/>
    <w:basedOn w:val="Absatz-Standardschriftart"/>
    <w:link w:val="Untertitel"/>
    <w:uiPriority w:val="11"/>
    <w:rsid w:val="003C268C"/>
    <w:rPr>
      <w:rFonts w:eastAsiaTheme="majorEastAsia" w:cstheme="majorBidi"/>
      <w:color w:val="595959" w:themeColor="text1" w:themeTint="A6"/>
      <w:spacing w:val="15"/>
      <w:kern w:val="2"/>
      <w:sz w:val="28"/>
      <w:szCs w:val="28"/>
      <w:lang w:val="de-CH"/>
      <w14:ligatures w14:val="standardContextual"/>
    </w:rPr>
  </w:style>
  <w:style w:type="paragraph" w:styleId="Zitat">
    <w:name w:val="Quote"/>
    <w:basedOn w:val="Standard"/>
    <w:next w:val="Standard"/>
    <w:link w:val="ZitatZchn"/>
    <w:uiPriority w:val="29"/>
    <w:qFormat/>
    <w:rsid w:val="003C268C"/>
    <w:pPr>
      <w:spacing w:before="160" w:line="240" w:lineRule="auto"/>
      <w:jc w:val="center"/>
    </w:pPr>
    <w:rPr>
      <w:i/>
      <w:iCs/>
      <w:color w:val="404040" w:themeColor="text1" w:themeTint="BF"/>
      <w:kern w:val="2"/>
      <w:sz w:val="24"/>
      <w:szCs w:val="24"/>
      <w:lang w:val="de-CH"/>
      <w14:ligatures w14:val="standardContextual"/>
    </w:rPr>
  </w:style>
  <w:style w:type="character" w:customStyle="1" w:styleId="ZitatZchn">
    <w:name w:val="Zitat Zchn"/>
    <w:basedOn w:val="Absatz-Standardschriftart"/>
    <w:link w:val="Zitat"/>
    <w:uiPriority w:val="29"/>
    <w:rsid w:val="003C268C"/>
    <w:rPr>
      <w:i/>
      <w:iCs/>
      <w:color w:val="404040" w:themeColor="text1" w:themeTint="BF"/>
      <w:kern w:val="2"/>
      <w:sz w:val="24"/>
      <w:szCs w:val="24"/>
      <w:lang w:val="de-CH"/>
      <w14:ligatures w14:val="standardContextual"/>
    </w:rPr>
  </w:style>
  <w:style w:type="paragraph" w:styleId="Listenabsatz">
    <w:name w:val="List Paragraph"/>
    <w:basedOn w:val="Standard"/>
    <w:uiPriority w:val="34"/>
    <w:qFormat/>
    <w:rsid w:val="003C268C"/>
    <w:pPr>
      <w:spacing w:after="0" w:line="240" w:lineRule="auto"/>
      <w:ind w:left="720"/>
      <w:contextualSpacing/>
    </w:pPr>
    <w:rPr>
      <w:kern w:val="2"/>
      <w:sz w:val="24"/>
      <w:szCs w:val="24"/>
      <w:lang w:val="de-CH"/>
      <w14:ligatures w14:val="standardContextual"/>
    </w:rPr>
  </w:style>
  <w:style w:type="character" w:styleId="IntensiveHervorhebung">
    <w:name w:val="Intense Emphasis"/>
    <w:basedOn w:val="Absatz-Standardschriftart"/>
    <w:uiPriority w:val="21"/>
    <w:qFormat/>
    <w:rsid w:val="003C268C"/>
    <w:rPr>
      <w:i/>
      <w:iCs/>
      <w:color w:val="2E74B5" w:themeColor="accent1" w:themeShade="BF"/>
    </w:rPr>
  </w:style>
  <w:style w:type="paragraph" w:styleId="IntensivesZitat">
    <w:name w:val="Intense Quote"/>
    <w:basedOn w:val="Standard"/>
    <w:next w:val="Standard"/>
    <w:link w:val="IntensivesZitatZchn"/>
    <w:uiPriority w:val="30"/>
    <w:qFormat/>
    <w:rsid w:val="003C268C"/>
    <w:pPr>
      <w:pBdr>
        <w:top w:val="single" w:sz="4" w:space="10" w:color="2E74B5" w:themeColor="accent1" w:themeShade="BF"/>
        <w:bottom w:val="single" w:sz="4" w:space="10" w:color="2E74B5" w:themeColor="accent1" w:themeShade="BF"/>
      </w:pBdr>
      <w:spacing w:before="360" w:after="360" w:line="240" w:lineRule="auto"/>
      <w:ind w:left="864" w:right="864"/>
      <w:jc w:val="center"/>
    </w:pPr>
    <w:rPr>
      <w:i/>
      <w:iCs/>
      <w:color w:val="2E74B5" w:themeColor="accent1" w:themeShade="BF"/>
      <w:kern w:val="2"/>
      <w:sz w:val="24"/>
      <w:szCs w:val="24"/>
      <w:lang w:val="de-CH"/>
      <w14:ligatures w14:val="standardContextual"/>
    </w:rPr>
  </w:style>
  <w:style w:type="character" w:customStyle="1" w:styleId="IntensivesZitatZchn">
    <w:name w:val="Intensives Zitat Zchn"/>
    <w:basedOn w:val="Absatz-Standardschriftart"/>
    <w:link w:val="IntensivesZitat"/>
    <w:uiPriority w:val="30"/>
    <w:rsid w:val="003C268C"/>
    <w:rPr>
      <w:i/>
      <w:iCs/>
      <w:color w:val="2E74B5" w:themeColor="accent1" w:themeShade="BF"/>
      <w:kern w:val="2"/>
      <w:sz w:val="24"/>
      <w:szCs w:val="24"/>
      <w:lang w:val="de-CH"/>
      <w14:ligatures w14:val="standardContextual"/>
    </w:rPr>
  </w:style>
  <w:style w:type="character" w:styleId="IntensiverVerweis">
    <w:name w:val="Intense Reference"/>
    <w:basedOn w:val="Absatz-Standardschriftart"/>
    <w:uiPriority w:val="32"/>
    <w:qFormat/>
    <w:rsid w:val="003C268C"/>
    <w:rPr>
      <w:b/>
      <w:bCs/>
      <w:smallCaps/>
      <w:color w:val="2E74B5" w:themeColor="accent1" w:themeShade="BF"/>
      <w:spacing w:val="5"/>
    </w:rPr>
  </w:style>
  <w:style w:type="paragraph" w:styleId="StandardWeb">
    <w:name w:val="Normal (Web)"/>
    <w:basedOn w:val="Standard"/>
    <w:uiPriority w:val="99"/>
    <w:unhideWhenUsed/>
    <w:rsid w:val="003C268C"/>
    <w:pPr>
      <w:spacing w:before="100" w:beforeAutospacing="1" w:after="100" w:afterAutospacing="1" w:line="240" w:lineRule="auto"/>
    </w:pPr>
    <w:rPr>
      <w:rFonts w:ascii="Times New Roman" w:eastAsia="Times New Roman" w:hAnsi="Times New Roman" w:cs="Times New Roman"/>
      <w:sz w:val="24"/>
      <w:szCs w:val="24"/>
      <w:lang w:val="de-CH" w:eastAsia="de-DE"/>
    </w:rPr>
  </w:style>
  <w:style w:type="character" w:styleId="NichtaufgelsteErwhnung">
    <w:name w:val="Unresolved Mention"/>
    <w:basedOn w:val="Absatz-Standardschriftart"/>
    <w:uiPriority w:val="99"/>
    <w:semiHidden/>
    <w:unhideWhenUsed/>
    <w:rsid w:val="003C268C"/>
    <w:rPr>
      <w:color w:val="605E5C"/>
      <w:shd w:val="clear" w:color="auto" w:fill="E1DFDD"/>
    </w:rPr>
  </w:style>
  <w:style w:type="paragraph" w:styleId="Funotentext">
    <w:name w:val="footnote text"/>
    <w:basedOn w:val="Standard"/>
    <w:link w:val="FunotentextZchn"/>
    <w:uiPriority w:val="9"/>
    <w:unhideWhenUsed/>
    <w:qFormat/>
    <w:rsid w:val="003C268C"/>
    <w:pPr>
      <w:spacing w:after="0" w:line="240" w:lineRule="auto"/>
    </w:pPr>
    <w:rPr>
      <w:kern w:val="2"/>
      <w:sz w:val="20"/>
      <w:szCs w:val="20"/>
      <w:lang w:val="de-CH"/>
      <w14:ligatures w14:val="standardContextual"/>
    </w:rPr>
  </w:style>
  <w:style w:type="character" w:customStyle="1" w:styleId="FunotentextZchn">
    <w:name w:val="Fußnotentext Zchn"/>
    <w:basedOn w:val="Absatz-Standardschriftart"/>
    <w:link w:val="Funotentext"/>
    <w:uiPriority w:val="9"/>
    <w:rsid w:val="003C268C"/>
    <w:rPr>
      <w:kern w:val="2"/>
      <w:sz w:val="20"/>
      <w:szCs w:val="20"/>
      <w:lang w:val="de-CH"/>
      <w14:ligatures w14:val="standardContextual"/>
    </w:rPr>
  </w:style>
  <w:style w:type="character" w:styleId="Funotenzeichen">
    <w:name w:val="footnote reference"/>
    <w:basedOn w:val="Absatz-Standardschriftart"/>
    <w:unhideWhenUsed/>
    <w:rsid w:val="003C268C"/>
    <w:rPr>
      <w:vertAlign w:val="superscript"/>
    </w:rPr>
  </w:style>
  <w:style w:type="paragraph" w:styleId="Inhaltsverzeichnisberschrift">
    <w:name w:val="TOC Heading"/>
    <w:basedOn w:val="berschrift1"/>
    <w:next w:val="Standard"/>
    <w:uiPriority w:val="39"/>
    <w:unhideWhenUsed/>
    <w:qFormat/>
    <w:rsid w:val="003C268C"/>
    <w:pPr>
      <w:numPr>
        <w:numId w:val="0"/>
      </w:numPr>
      <w:spacing w:before="480" w:after="0" w:line="276" w:lineRule="auto"/>
      <w:outlineLvl w:val="9"/>
    </w:pPr>
    <w:rPr>
      <w:b/>
      <w:bCs/>
      <w:kern w:val="0"/>
      <w:sz w:val="28"/>
      <w:szCs w:val="28"/>
      <w:lang w:eastAsia="de-DE"/>
      <w14:ligatures w14:val="none"/>
    </w:rPr>
  </w:style>
  <w:style w:type="paragraph" w:styleId="Verzeichnis2">
    <w:name w:val="toc 2"/>
    <w:basedOn w:val="2Ebene"/>
    <w:next w:val="2Ebene"/>
    <w:autoRedefine/>
    <w:uiPriority w:val="39"/>
    <w:unhideWhenUsed/>
    <w:qFormat/>
    <w:rsid w:val="00003077"/>
    <w:pPr>
      <w:keepNext w:val="0"/>
      <w:keepLines w:val="0"/>
      <w:spacing w:before="0" w:after="0" w:line="259" w:lineRule="auto"/>
      <w:ind w:left="220"/>
      <w:jc w:val="left"/>
      <w:outlineLvl w:val="9"/>
    </w:pPr>
    <w:rPr>
      <w:rFonts w:ascii="Calibri" w:eastAsiaTheme="minorHAnsi" w:hAnsi="Calibri"/>
      <w:color w:val="auto"/>
      <w:kern w:val="0"/>
      <w:sz w:val="22"/>
      <w:szCs w:val="20"/>
      <w:lang w:val="de-DE"/>
      <w14:ligatures w14:val="none"/>
    </w:rPr>
  </w:style>
  <w:style w:type="paragraph" w:styleId="Verzeichnis1">
    <w:name w:val="toc 1"/>
    <w:next w:val="1Ebene"/>
    <w:autoRedefine/>
    <w:uiPriority w:val="39"/>
    <w:unhideWhenUsed/>
    <w:qFormat/>
    <w:rsid w:val="00003077"/>
    <w:pPr>
      <w:spacing w:before="120"/>
    </w:pPr>
    <w:rPr>
      <w:rFonts w:ascii="Calibri" w:hAnsi="Calibri" w:cstheme="minorHAnsi"/>
      <w:bCs/>
      <w:kern w:val="28"/>
      <w:szCs w:val="20"/>
      <w:lang w:val="de-CH"/>
      <w14:ligatures w14:val="standardContextual"/>
    </w:rPr>
  </w:style>
  <w:style w:type="paragraph" w:styleId="Verzeichnis3">
    <w:name w:val="toc 3"/>
    <w:basedOn w:val="3Ebene"/>
    <w:next w:val="3Ebene"/>
    <w:autoRedefine/>
    <w:uiPriority w:val="39"/>
    <w:unhideWhenUsed/>
    <w:qFormat/>
    <w:rsid w:val="00003077"/>
    <w:pPr>
      <w:keepNext w:val="0"/>
      <w:keepLines w:val="0"/>
      <w:spacing w:before="0" w:after="0" w:line="259" w:lineRule="auto"/>
      <w:ind w:left="440"/>
      <w:jc w:val="left"/>
      <w:outlineLvl w:val="9"/>
    </w:pPr>
    <w:rPr>
      <w:rFonts w:ascii="Calibri" w:eastAsiaTheme="minorHAnsi" w:hAnsi="Calibri" w:cstheme="minorHAnsi"/>
      <w:iCs/>
      <w:color w:val="auto"/>
      <w:kern w:val="0"/>
      <w:sz w:val="22"/>
      <w:szCs w:val="20"/>
      <w:lang w:val="de-DE" w:eastAsia="en-US"/>
      <w14:ligatures w14:val="none"/>
    </w:rPr>
  </w:style>
  <w:style w:type="paragraph" w:styleId="Verzeichnis4">
    <w:name w:val="toc 4"/>
    <w:basedOn w:val="Standard"/>
    <w:next w:val="Standard"/>
    <w:autoRedefine/>
    <w:uiPriority w:val="39"/>
    <w:unhideWhenUsed/>
    <w:rsid w:val="003C268C"/>
    <w:pPr>
      <w:spacing w:after="0"/>
      <w:ind w:left="660"/>
    </w:pPr>
    <w:rPr>
      <w:rFonts w:cstheme="minorHAnsi"/>
      <w:sz w:val="18"/>
      <w:szCs w:val="18"/>
    </w:rPr>
  </w:style>
  <w:style w:type="paragraph" w:styleId="Verzeichnis5">
    <w:name w:val="toc 5"/>
    <w:basedOn w:val="Standard"/>
    <w:next w:val="Standard"/>
    <w:autoRedefine/>
    <w:uiPriority w:val="39"/>
    <w:unhideWhenUsed/>
    <w:rsid w:val="003C268C"/>
    <w:pPr>
      <w:spacing w:after="0"/>
      <w:ind w:left="880"/>
    </w:pPr>
    <w:rPr>
      <w:rFonts w:cstheme="minorHAnsi"/>
      <w:sz w:val="18"/>
      <w:szCs w:val="18"/>
    </w:rPr>
  </w:style>
  <w:style w:type="paragraph" w:styleId="Verzeichnis6">
    <w:name w:val="toc 6"/>
    <w:basedOn w:val="Standard"/>
    <w:next w:val="Standard"/>
    <w:autoRedefine/>
    <w:uiPriority w:val="39"/>
    <w:unhideWhenUsed/>
    <w:rsid w:val="003C268C"/>
    <w:pPr>
      <w:spacing w:after="0"/>
      <w:ind w:left="1100"/>
    </w:pPr>
    <w:rPr>
      <w:rFonts w:cstheme="minorHAnsi"/>
      <w:sz w:val="18"/>
      <w:szCs w:val="18"/>
    </w:rPr>
  </w:style>
  <w:style w:type="paragraph" w:styleId="Verzeichnis7">
    <w:name w:val="toc 7"/>
    <w:basedOn w:val="Standard"/>
    <w:next w:val="Standard"/>
    <w:autoRedefine/>
    <w:uiPriority w:val="39"/>
    <w:unhideWhenUsed/>
    <w:rsid w:val="003C268C"/>
    <w:pPr>
      <w:spacing w:after="0"/>
      <w:ind w:left="1320"/>
    </w:pPr>
    <w:rPr>
      <w:rFonts w:cstheme="minorHAnsi"/>
      <w:sz w:val="18"/>
      <w:szCs w:val="18"/>
    </w:rPr>
  </w:style>
  <w:style w:type="paragraph" w:styleId="Verzeichnis8">
    <w:name w:val="toc 8"/>
    <w:basedOn w:val="Standard"/>
    <w:next w:val="Standard"/>
    <w:autoRedefine/>
    <w:uiPriority w:val="39"/>
    <w:unhideWhenUsed/>
    <w:rsid w:val="003C268C"/>
    <w:pPr>
      <w:spacing w:after="0"/>
      <w:ind w:left="1540"/>
    </w:pPr>
    <w:rPr>
      <w:rFonts w:cstheme="minorHAnsi"/>
      <w:sz w:val="18"/>
      <w:szCs w:val="18"/>
    </w:rPr>
  </w:style>
  <w:style w:type="paragraph" w:styleId="Verzeichnis9">
    <w:name w:val="toc 9"/>
    <w:basedOn w:val="Standard"/>
    <w:next w:val="Standard"/>
    <w:autoRedefine/>
    <w:uiPriority w:val="39"/>
    <w:unhideWhenUsed/>
    <w:rsid w:val="003C268C"/>
    <w:pPr>
      <w:spacing w:after="0"/>
      <w:ind w:left="1760"/>
    </w:pPr>
    <w:rPr>
      <w:rFonts w:cstheme="minorHAnsi"/>
      <w:sz w:val="18"/>
      <w:szCs w:val="18"/>
    </w:rPr>
  </w:style>
  <w:style w:type="character" w:styleId="Seitenzahl">
    <w:name w:val="page number"/>
    <w:basedOn w:val="Absatz-Standardschriftart"/>
    <w:uiPriority w:val="99"/>
    <w:semiHidden/>
    <w:unhideWhenUsed/>
    <w:rsid w:val="003C268C"/>
  </w:style>
  <w:style w:type="character" w:customStyle="1" w:styleId="apple-converted-space">
    <w:name w:val="apple-converted-space"/>
    <w:basedOn w:val="Absatz-Standardschriftart"/>
    <w:rsid w:val="003C268C"/>
  </w:style>
  <w:style w:type="character" w:styleId="Platzhaltertext">
    <w:name w:val="Placeholder Text"/>
    <w:basedOn w:val="Absatz-Standardschriftart"/>
    <w:uiPriority w:val="99"/>
    <w:semiHidden/>
    <w:rsid w:val="003C268C"/>
    <w:rPr>
      <w:color w:val="666666"/>
    </w:rPr>
  </w:style>
  <w:style w:type="character" w:styleId="BesuchterLink">
    <w:name w:val="FollowedHyperlink"/>
    <w:basedOn w:val="Absatz-Standardschriftart"/>
    <w:uiPriority w:val="99"/>
    <w:semiHidden/>
    <w:unhideWhenUsed/>
    <w:rsid w:val="003C268C"/>
    <w:rPr>
      <w:color w:val="954F72" w:themeColor="followedHyperlink"/>
      <w:u w:val="single"/>
    </w:rPr>
  </w:style>
  <w:style w:type="paragraph" w:styleId="berarbeitung">
    <w:name w:val="Revision"/>
    <w:hidden/>
    <w:uiPriority w:val="99"/>
    <w:semiHidden/>
    <w:rsid w:val="003C268C"/>
    <w:pPr>
      <w:spacing w:after="0" w:line="240" w:lineRule="auto"/>
    </w:pPr>
    <w:rPr>
      <w:kern w:val="2"/>
      <w:sz w:val="24"/>
      <w:szCs w:val="24"/>
      <w:lang w:val="de-CH"/>
      <w14:ligatures w14:val="standardContextual"/>
    </w:rPr>
  </w:style>
  <w:style w:type="paragraph" w:customStyle="1" w:styleId="1Ebene">
    <w:name w:val="1. Ebene"/>
    <w:basedOn w:val="Standard"/>
    <w:link w:val="1EbeneZchn"/>
    <w:qFormat/>
    <w:rsid w:val="005F4735"/>
    <w:pPr>
      <w:spacing w:before="240" w:after="120" w:line="257" w:lineRule="auto"/>
    </w:pPr>
    <w:rPr>
      <w:rFonts w:ascii="Calibri" w:eastAsia="Calibri" w:hAnsi="Calibri" w:cs="Times New Roman"/>
      <w:color w:val="016D72"/>
      <w:sz w:val="32"/>
      <w:szCs w:val="32"/>
    </w:rPr>
  </w:style>
  <w:style w:type="character" w:customStyle="1" w:styleId="1EbeneZchn">
    <w:name w:val="1. Ebene Zchn"/>
    <w:basedOn w:val="Absatz-Standardschriftart"/>
    <w:link w:val="1Ebene"/>
    <w:rsid w:val="005F4735"/>
    <w:rPr>
      <w:rFonts w:ascii="Calibri" w:eastAsia="Calibri" w:hAnsi="Calibri" w:cs="Times New Roman"/>
      <w:color w:val="016D72"/>
      <w:sz w:val="32"/>
      <w:szCs w:val="32"/>
    </w:rPr>
  </w:style>
  <w:style w:type="paragraph" w:customStyle="1" w:styleId="2Ebene">
    <w:name w:val="2. Ebene"/>
    <w:basedOn w:val="berschrift2"/>
    <w:link w:val="2EbeneZchn"/>
    <w:qFormat/>
    <w:rsid w:val="005F4735"/>
    <w:pPr>
      <w:numPr>
        <w:ilvl w:val="0"/>
        <w:numId w:val="0"/>
      </w:numPr>
      <w:spacing w:after="120" w:line="276" w:lineRule="auto"/>
      <w:jc w:val="both"/>
    </w:pPr>
    <w:rPr>
      <w:rFonts w:asciiTheme="minorHAnsi" w:hAnsiTheme="minorHAnsi" w:cstheme="minorHAnsi"/>
      <w:color w:val="016D72"/>
      <w:sz w:val="26"/>
      <w:szCs w:val="26"/>
    </w:rPr>
  </w:style>
  <w:style w:type="character" w:customStyle="1" w:styleId="2EbeneZchn">
    <w:name w:val="2. Ebene Zchn"/>
    <w:basedOn w:val="berschrift2Zchn"/>
    <w:link w:val="2Ebene"/>
    <w:rsid w:val="005F4735"/>
    <w:rPr>
      <w:rFonts w:asciiTheme="majorHAnsi" w:eastAsiaTheme="majorEastAsia" w:hAnsiTheme="majorHAnsi" w:cstheme="minorHAnsi"/>
      <w:color w:val="016D72"/>
      <w:kern w:val="2"/>
      <w:sz w:val="26"/>
      <w:szCs w:val="26"/>
      <w:lang w:val="de-CH"/>
      <w14:ligatures w14:val="standardContextual"/>
    </w:rPr>
  </w:style>
  <w:style w:type="paragraph" w:customStyle="1" w:styleId="3Ebene">
    <w:name w:val="3. Ebene"/>
    <w:basedOn w:val="2Ebene"/>
    <w:link w:val="3EbeneZchn"/>
    <w:qFormat/>
    <w:rsid w:val="005F4735"/>
    <w:rPr>
      <w:rFonts w:asciiTheme="majorHAnsi" w:eastAsia="Times New Roman" w:hAnsiTheme="majorHAnsi" w:cstheme="majorHAnsi"/>
      <w:lang w:eastAsia="de-DE"/>
    </w:rPr>
  </w:style>
  <w:style w:type="character" w:customStyle="1" w:styleId="3EbeneZchn">
    <w:name w:val="3. Ebene Zchn"/>
    <w:basedOn w:val="2EbeneZchn"/>
    <w:link w:val="3Ebene"/>
    <w:rsid w:val="005F4735"/>
    <w:rPr>
      <w:rFonts w:asciiTheme="majorHAnsi" w:eastAsia="Times New Roman" w:hAnsiTheme="majorHAnsi" w:cstheme="majorHAnsi"/>
      <w:color w:val="016D72"/>
      <w:kern w:val="2"/>
      <w:sz w:val="26"/>
      <w:szCs w:val="26"/>
      <w:lang w:val="de-CH" w:eastAsia="de-DE"/>
      <w14:ligatures w14:val="standardContextual"/>
    </w:rPr>
  </w:style>
  <w:style w:type="character" w:styleId="Erwhnung">
    <w:name w:val="Mention"/>
    <w:basedOn w:val="Absatz-Standardschriftart"/>
    <w:uiPriority w:val="99"/>
    <w:unhideWhenUsed/>
    <w:rsid w:val="009102F6"/>
    <w:rPr>
      <w:color w:val="2B579A"/>
      <w:shd w:val="clear" w:color="auto" w:fill="E1DFDD"/>
    </w:rPr>
  </w:style>
  <w:style w:type="paragraph" w:styleId="KeinLeerraum">
    <w:name w:val="No Spacing"/>
    <w:uiPriority w:val="1"/>
    <w:qFormat/>
    <w:rsid w:val="00A768F4"/>
    <w:pPr>
      <w:spacing w:after="0" w:line="240" w:lineRule="auto"/>
    </w:pPr>
    <w:rPr>
      <w:kern w:val="2"/>
      <w:sz w:val="24"/>
      <w:szCs w:val="24"/>
      <w:lang w:val="en-US"/>
      <w14:ligatures w14:val="standardContextual"/>
    </w:rPr>
  </w:style>
  <w:style w:type="character" w:styleId="Hervorhebung">
    <w:name w:val="Emphasis"/>
    <w:basedOn w:val="Absatz-Standardschriftart"/>
    <w:uiPriority w:val="20"/>
    <w:qFormat/>
    <w:rsid w:val="00A768F4"/>
    <w:rPr>
      <w:i/>
      <w:iCs/>
    </w:rPr>
  </w:style>
  <w:style w:type="paragraph" w:styleId="Beschriftung">
    <w:name w:val="caption"/>
    <w:basedOn w:val="Standard"/>
    <w:next w:val="Standard"/>
    <w:uiPriority w:val="35"/>
    <w:unhideWhenUsed/>
    <w:qFormat/>
    <w:rsid w:val="00A768F4"/>
    <w:pPr>
      <w:spacing w:after="200" w:line="240" w:lineRule="auto"/>
    </w:pPr>
    <w:rPr>
      <w:i/>
      <w:iCs/>
      <w:color w:val="44546A" w:themeColor="text2"/>
      <w:sz w:val="18"/>
      <w:szCs w:val="18"/>
    </w:rPr>
  </w:style>
  <w:style w:type="paragraph" w:styleId="Textkrper">
    <w:name w:val="Body Text"/>
    <w:basedOn w:val="Standard"/>
    <w:link w:val="TextkrperZchn"/>
    <w:qFormat/>
    <w:rsid w:val="00C05D52"/>
    <w:pPr>
      <w:spacing w:before="180" w:after="180" w:line="240" w:lineRule="auto"/>
    </w:pPr>
    <w:rPr>
      <w:sz w:val="24"/>
      <w:szCs w:val="24"/>
      <w:lang w:val="en-US"/>
    </w:rPr>
  </w:style>
  <w:style w:type="character" w:customStyle="1" w:styleId="TextkrperZchn">
    <w:name w:val="Textkörper Zchn"/>
    <w:basedOn w:val="Absatz-Standardschriftart"/>
    <w:link w:val="Textkrper"/>
    <w:rsid w:val="00C05D52"/>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8027367">
      <w:bodyDiv w:val="1"/>
      <w:marLeft w:val="0"/>
      <w:marRight w:val="0"/>
      <w:marTop w:val="0"/>
      <w:marBottom w:val="0"/>
      <w:divBdr>
        <w:top w:val="none" w:sz="0" w:space="0" w:color="auto"/>
        <w:left w:val="none" w:sz="0" w:space="0" w:color="auto"/>
        <w:bottom w:val="none" w:sz="0" w:space="0" w:color="auto"/>
        <w:right w:val="none" w:sz="0" w:space="0" w:color="auto"/>
      </w:divBdr>
      <w:divsChild>
        <w:div w:id="624238705">
          <w:marLeft w:val="0"/>
          <w:marRight w:val="0"/>
          <w:marTop w:val="0"/>
          <w:marBottom w:val="0"/>
          <w:divBdr>
            <w:top w:val="none" w:sz="0" w:space="0" w:color="auto"/>
            <w:left w:val="none" w:sz="0" w:space="0" w:color="auto"/>
            <w:bottom w:val="none" w:sz="0" w:space="0" w:color="auto"/>
            <w:right w:val="none" w:sz="0" w:space="0" w:color="auto"/>
          </w:divBdr>
          <w:divsChild>
            <w:div w:id="2086294698">
              <w:marLeft w:val="0"/>
              <w:marRight w:val="0"/>
              <w:marTop w:val="0"/>
              <w:marBottom w:val="0"/>
              <w:divBdr>
                <w:top w:val="none" w:sz="0" w:space="0" w:color="auto"/>
                <w:left w:val="none" w:sz="0" w:space="0" w:color="auto"/>
                <w:bottom w:val="none" w:sz="0" w:space="0" w:color="auto"/>
                <w:right w:val="none" w:sz="0" w:space="0" w:color="auto"/>
              </w:divBdr>
              <w:divsChild>
                <w:div w:id="761874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194423">
      <w:bodyDiv w:val="1"/>
      <w:marLeft w:val="0"/>
      <w:marRight w:val="0"/>
      <w:marTop w:val="0"/>
      <w:marBottom w:val="0"/>
      <w:divBdr>
        <w:top w:val="none" w:sz="0" w:space="0" w:color="auto"/>
        <w:left w:val="none" w:sz="0" w:space="0" w:color="auto"/>
        <w:bottom w:val="none" w:sz="0" w:space="0" w:color="auto"/>
        <w:right w:val="none" w:sz="0" w:space="0" w:color="auto"/>
      </w:divBdr>
    </w:div>
    <w:div w:id="840774028">
      <w:bodyDiv w:val="1"/>
      <w:marLeft w:val="0"/>
      <w:marRight w:val="0"/>
      <w:marTop w:val="0"/>
      <w:marBottom w:val="0"/>
      <w:divBdr>
        <w:top w:val="none" w:sz="0" w:space="0" w:color="auto"/>
        <w:left w:val="none" w:sz="0" w:space="0" w:color="auto"/>
        <w:bottom w:val="none" w:sz="0" w:space="0" w:color="auto"/>
        <w:right w:val="none" w:sz="0" w:space="0" w:color="auto"/>
      </w:divBdr>
    </w:div>
    <w:div w:id="889346486">
      <w:bodyDiv w:val="1"/>
      <w:marLeft w:val="0"/>
      <w:marRight w:val="0"/>
      <w:marTop w:val="0"/>
      <w:marBottom w:val="0"/>
      <w:divBdr>
        <w:top w:val="none" w:sz="0" w:space="0" w:color="auto"/>
        <w:left w:val="none" w:sz="0" w:space="0" w:color="auto"/>
        <w:bottom w:val="none" w:sz="0" w:space="0" w:color="auto"/>
        <w:right w:val="none" w:sz="0" w:space="0" w:color="auto"/>
      </w:divBdr>
    </w:div>
    <w:div w:id="1343122585">
      <w:bodyDiv w:val="1"/>
      <w:marLeft w:val="0"/>
      <w:marRight w:val="0"/>
      <w:marTop w:val="0"/>
      <w:marBottom w:val="0"/>
      <w:divBdr>
        <w:top w:val="none" w:sz="0" w:space="0" w:color="auto"/>
        <w:left w:val="none" w:sz="0" w:space="0" w:color="auto"/>
        <w:bottom w:val="none" w:sz="0" w:space="0" w:color="auto"/>
        <w:right w:val="none" w:sz="0" w:space="0" w:color="auto"/>
      </w:divBdr>
    </w:div>
    <w:div w:id="1556045461">
      <w:bodyDiv w:val="1"/>
      <w:marLeft w:val="0"/>
      <w:marRight w:val="0"/>
      <w:marTop w:val="0"/>
      <w:marBottom w:val="0"/>
      <w:divBdr>
        <w:top w:val="none" w:sz="0" w:space="0" w:color="auto"/>
        <w:left w:val="none" w:sz="0" w:space="0" w:color="auto"/>
        <w:bottom w:val="none" w:sz="0" w:space="0" w:color="auto"/>
        <w:right w:val="none" w:sz="0" w:space="0" w:color="auto"/>
      </w:divBdr>
    </w:div>
    <w:div w:id="1614894734">
      <w:bodyDiv w:val="1"/>
      <w:marLeft w:val="0"/>
      <w:marRight w:val="0"/>
      <w:marTop w:val="0"/>
      <w:marBottom w:val="0"/>
      <w:divBdr>
        <w:top w:val="none" w:sz="0" w:space="0" w:color="auto"/>
        <w:left w:val="none" w:sz="0" w:space="0" w:color="auto"/>
        <w:bottom w:val="none" w:sz="0" w:space="0" w:color="auto"/>
        <w:right w:val="none" w:sz="0" w:space="0" w:color="auto"/>
      </w:divBdr>
      <w:divsChild>
        <w:div w:id="796340153">
          <w:marLeft w:val="0"/>
          <w:marRight w:val="0"/>
          <w:marTop w:val="0"/>
          <w:marBottom w:val="0"/>
          <w:divBdr>
            <w:top w:val="none" w:sz="0" w:space="0" w:color="auto"/>
            <w:left w:val="none" w:sz="0" w:space="0" w:color="auto"/>
            <w:bottom w:val="none" w:sz="0" w:space="0" w:color="auto"/>
            <w:right w:val="none" w:sz="0" w:space="0" w:color="auto"/>
          </w:divBdr>
          <w:divsChild>
            <w:div w:id="917323138">
              <w:marLeft w:val="0"/>
              <w:marRight w:val="0"/>
              <w:marTop w:val="0"/>
              <w:marBottom w:val="0"/>
              <w:divBdr>
                <w:top w:val="none" w:sz="0" w:space="0" w:color="auto"/>
                <w:left w:val="none" w:sz="0" w:space="0" w:color="auto"/>
                <w:bottom w:val="none" w:sz="0" w:space="0" w:color="auto"/>
                <w:right w:val="none" w:sz="0" w:space="0" w:color="auto"/>
              </w:divBdr>
              <w:divsChild>
                <w:div w:id="172451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092068">
      <w:bodyDiv w:val="1"/>
      <w:marLeft w:val="0"/>
      <w:marRight w:val="0"/>
      <w:marTop w:val="0"/>
      <w:marBottom w:val="0"/>
      <w:divBdr>
        <w:top w:val="none" w:sz="0" w:space="0" w:color="auto"/>
        <w:left w:val="none" w:sz="0" w:space="0" w:color="auto"/>
        <w:bottom w:val="none" w:sz="0" w:space="0" w:color="auto"/>
        <w:right w:val="none" w:sz="0" w:space="0" w:color="auto"/>
      </w:divBdr>
    </w:div>
    <w:div w:id="1830558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telepolis.de/features/Nachwuchs-fuer-den-Dschihad-Droht-ein-Islamischer-Staat-2-0-9231543.html?seite=all" TargetMode="External"/><Relationship Id="rId18" Type="http://schemas.openxmlformats.org/officeDocument/2006/relationships/hyperlink" Target="https://www.nzz.ch/zuerich/attacke-auf-juden-in-zuerich-mario-fehr-fordert-entzug-des-buergerrechts-ld.1820749" TargetMode="External"/><Relationship Id="rId26" Type="http://schemas.openxmlformats.org/officeDocument/2006/relationships/hyperlink" Target="https://www.watson.ch/schweiz/kommentar/577048704-politiker-spielt-richter-kein-buergerrechtsentzug-von-minderjaehrigen" TargetMode="External"/><Relationship Id="rId39" Type="http://schemas.openxmlformats.org/officeDocument/2006/relationships/hyperlink" Target="https://boell-hamburg.de/sites/default/files/importedFile%202023/10/16/studie_vielfaeltige-repraesentation-unter-druck_anfeindungen-undaggressionenin-der-kommunalpolitik-.pdf" TargetMode="External"/><Relationship Id="rId21" Type="http://schemas.openxmlformats.org/officeDocument/2006/relationships/hyperlink" Target="https://www.republik.ch/2019/10/04/selbst-wer-mit-dem-teufel-tanzt-hat-das-recht-auf-rechte" TargetMode="External"/><Relationship Id="rId34" Type="http://schemas.openxmlformats.org/officeDocument/2006/relationships/hyperlink" Target="mailto:rahel.kellich@uni-bielefeld.de" TargetMode="External"/><Relationship Id="rId42" Type="http://schemas.openxmlformats.org/officeDocument/2006/relationships/hyperlink" Target="https://doi.org/10.1177/0022343320905355" TargetMode="External"/><Relationship Id="rId47" Type="http://schemas.openxmlformats.org/officeDocument/2006/relationships/hyperlink" Target="https://mik.brandenburg.de/sixcms/media.php/9/Kommunalstudie%20BB_finale_Fassung_Auflage1.pdf" TargetMode="External"/><Relationship Id="rId50" Type="http://schemas.openxmlformats.org/officeDocument/2006/relationships/hyperlink" Target="https://www.landtag.sachsen.de/de/service/presse/landtagspraesident-attacke-auf-matthias-ecke-ist-angriff-auf-demokratie-29310.cshtml" TargetMode="External"/><Relationship Id="rId55" Type="http://schemas.openxmlformats.org/officeDocument/2006/relationships/hyperlink" Target="https://www.linkedin.com/company/moduszad/"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dserver.bundestag.de/btd/20/110/2011085.pdf" TargetMode="External"/><Relationship Id="rId29" Type="http://schemas.openxmlformats.org/officeDocument/2006/relationships/hyperlink" Target="https://ruk.fh-erfurt.de/umgang-mit-rueckkehrerinnen-nach-deutschland-spannungsfeld-zwischen-verantwortung-und-sicherheitsrisiko/" TargetMode="External"/><Relationship Id="rId11" Type="http://schemas.openxmlformats.org/officeDocument/2006/relationships/hyperlink" Target="mailto:mira.schwarz@uni-erfurt.de" TargetMode="External"/><Relationship Id="rId24" Type="http://schemas.openxmlformats.org/officeDocument/2006/relationships/hyperlink" Target="https://www.zeit.de/2021/19/deutsche-is-kaempfer-rueckholung-verantwortung-rechtsstaat-terrorismus-islamismus" TargetMode="External"/><Relationship Id="rId32" Type="http://schemas.openxmlformats.org/officeDocument/2006/relationships/hyperlink" Target="https://sui-generis.ch/article/view/sg.232/3168" TargetMode="External"/><Relationship Id="rId37" Type="http://schemas.openxmlformats.org/officeDocument/2006/relationships/hyperlink" Target="mailto:jens.ostwaldt@iu.org" TargetMode="External"/><Relationship Id="rId40" Type="http://schemas.openxmlformats.org/officeDocument/2006/relationships/hyperlink" Target="https://www.bka.de/DE/UnsereAufgaben/Deliktsbereiche/PMK/PMKZahlen2024/PMKZahlen2024_%20node.html" TargetMode="External"/><Relationship Id="rId45" Type="http://schemas.openxmlformats.org/officeDocument/2006/relationships/hyperlink" Target="https://doi.org/10.1520/JFS2004102" TargetMode="External"/><Relationship Id="rId53" Type="http://schemas.openxmlformats.org/officeDocument/2006/relationships/hyperlink" Target="https://bundesverband-mobile-beratung.de/publikationen/bedroht-zu-werden-gehoert-nicht-zum-mandat-zum-umgang-mit-rechten-bedrohungen-in-der-kommunalpolitik/" TargetMode="External"/><Relationship Id="rId58" Type="http://schemas.openxmlformats.org/officeDocument/2006/relationships/image" Target="media/image2.jpeg"/><Relationship Id="rId5" Type="http://schemas.openxmlformats.org/officeDocument/2006/relationships/numbering" Target="numbering.xml"/><Relationship Id="rId61" Type="http://schemas.openxmlformats.org/officeDocument/2006/relationships/fontTable" Target="fontTable.xml"/><Relationship Id="rId19" Type="http://schemas.openxmlformats.org/officeDocument/2006/relationships/hyperlink" Target="https://www.srf.ch/news/schweiz/verurteilt-in-paris-bund-will-emir-aus-waadtland-den-schweizer-pass-entziehen" TargetMode="External"/><Relationship Id="rId14" Type="http://schemas.openxmlformats.org/officeDocument/2006/relationships/hyperlink" Target="https://www.bundestag.de/resource/blob/550590/55a7e2d2698ef4aaeb5819ac14506f23/WD-2-138_15-pdf.pdf" TargetMode="External"/><Relationship Id="rId22" Type="http://schemas.openxmlformats.org/officeDocument/2006/relationships/hyperlink" Target="https://www.bpb.de/themen/infodienst/295672/diskriminierung-und-radikalisierung/" TargetMode="External"/><Relationship Id="rId27" Type="http://schemas.openxmlformats.org/officeDocument/2006/relationships/hyperlink" Target="https://www.ibanet.org/article/0973CA3C-1549-4489-B0F4-0DC418085C28" TargetMode="External"/><Relationship Id="rId30" Type="http://schemas.openxmlformats.org/officeDocument/2006/relationships/hyperlink" Target="https://www.srf.ch/news/schweiz/angriff-auf-juden-diskussion-um-ausbuergerung-des-angreifers-von-zuerich" TargetMode="External"/><Relationship Id="rId35" Type="http://schemas.openxmlformats.org/officeDocument/2006/relationships/image" Target="media/image1.png"/><Relationship Id="rId43" Type="http://schemas.openxmlformats.org/officeDocument/2006/relationships/hyperlink" Target="https://doi.org/10.1177/0004867415583700" TargetMode="External"/><Relationship Id="rId48" Type="http://schemas.openxmlformats.org/officeDocument/2006/relationships/hyperlink" Target="https://consensus.app/papers/online-abuse-of-politicians-experimental-evidence-on-pedersen-petersen/025fc37f40e15c5e8246ae3dc8ec1b59/?utm_source=chatgpt" TargetMode="External"/><Relationship Id="rId56" Type="http://schemas.openxmlformats.org/officeDocument/2006/relationships/hyperlink" Target="https://www.facebook.com/ViolencePreventionNetworkDeutschland/" TargetMode="External"/><Relationship Id="rId8" Type="http://schemas.openxmlformats.org/officeDocument/2006/relationships/webSettings" Target="webSettings.xml"/><Relationship Id="rId51" Type="http://schemas.openxmlformats.org/officeDocument/2006/relationships/hyperlink" Target="https://doi.org/10.1007/s00115-016-0243-5" TargetMode="External"/><Relationship Id="rId3" Type="http://schemas.openxmlformats.org/officeDocument/2006/relationships/customXml" Target="../customXml/item3.xml"/><Relationship Id="rId12" Type="http://schemas.openxmlformats.org/officeDocument/2006/relationships/hyperlink" Target="https://www.migrationpolicy.org/article/foreign-fighters-will-revoking-citizenship-mitigate-threat" TargetMode="External"/><Relationship Id="rId17" Type="http://schemas.openxmlformats.org/officeDocument/2006/relationships/hyperlink" Target="https://www.eda.admin.ch/eda/de/home/aussenpolitik/sicherheitspolitik/neue-sicherheitspolitischeherausforderungen/terrorismusbekaempfung.html" TargetMode="External"/><Relationship Id="rId25" Type="http://schemas.openxmlformats.org/officeDocument/2006/relationships/hyperlink" Target="https://www.youtube.com/watch?v=rS1OtXelMUY" TargetMode="External"/><Relationship Id="rId33" Type="http://schemas.openxmlformats.org/officeDocument/2006/relationships/hyperlink" Target="https://blog.prif.org/2018/05/22/vertrauen-ist-gut-kontrolle-ist-besser-sicherheitspolitisches-vs-paedagogisches-handeln-in-der-extremismuspraevention/" TargetMode="External"/><Relationship Id="rId38" Type="http://schemas.openxmlformats.org/officeDocument/2006/relationships/hyperlink" Target="https://consensus.app/papers/a-research-review-of-public-figure-threats-approaches-meloy-james/e499bffdfcea5ab8b3b62fbc51166d79/?utm_source=chatgpt" TargetMode="External"/><Relationship Id="rId46" Type="http://schemas.openxmlformats.org/officeDocument/2006/relationships/hyperlink" Target="https://www.swr.de/swraktuell/baden-wuerttemberg/angriffe-hass-buergermeister-100.html" TargetMode="External"/><Relationship Id="rId59" Type="http://schemas.openxmlformats.org/officeDocument/2006/relationships/image" Target="media/image3.jpeg"/><Relationship Id="rId20" Type="http://schemas.openxmlformats.org/officeDocument/2006/relationships/hyperlink" Target="https://www.srf.ch/news/schweiz/is-verdaechtiger-doppelbuerger-bei-der-ausbuergerung-war-spanien-schneller-als-die-schweiz" TargetMode="External"/><Relationship Id="rId41" Type="http://schemas.openxmlformats.org/officeDocument/2006/relationships/hyperlink" Target="https://www.bundestag.de/resource/blob/916578/53724d526490deea69f736b1fda83e76/WD-9-059-22-pdf-data.pdf" TargetMode="External"/><Relationship Id="rId54" Type="http://schemas.openxmlformats.org/officeDocument/2006/relationships/hyperlink" Target="mailto:info@modus-zad.de"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bundestag.de/resource/blob/691444/eb7d5e4c4955417c9df764f0c897ddc8/WD-3-290-19-pdf.pdf" TargetMode="External"/><Relationship Id="rId23" Type="http://schemas.openxmlformats.org/officeDocument/2006/relationships/hyperlink" Target="https://www.woz.ch/1938/terrorismus-und-recht/die-erste-ausbuergerung" TargetMode="External"/><Relationship Id="rId28" Type="http://schemas.openxmlformats.org/officeDocument/2006/relationships/hyperlink" Target="https://www.icct.nl/publication/deprivation-nationality-after-terrorist-conviction-uncomfortable-truth" TargetMode="External"/><Relationship Id="rId36" Type="http://schemas.openxmlformats.org/officeDocument/2006/relationships/hyperlink" Target="mailto:dennis.walkenhorst@iu.org" TargetMode="External"/><Relationship Id="rId49" Type="http://schemas.openxmlformats.org/officeDocument/2006/relationships/hyperlink" Target="https://doi.org/10.21203/rs.3.rs-3376832/v1" TargetMode="External"/><Relationship Id="rId57" Type="http://schemas.openxmlformats.org/officeDocument/2006/relationships/hyperlink" Target="https://www.linkedin.com/company/violence-prevention-network" TargetMode="External"/><Relationship Id="rId10" Type="http://schemas.openxmlformats.org/officeDocument/2006/relationships/endnotes" Target="endnotes.xml"/><Relationship Id="rId31" Type="http://schemas.openxmlformats.org/officeDocument/2006/relationships/hyperlink" Target="https://www.skjv.ch/de/was-ist-justizvollzug/ziele-aufgaben-des-justizvollzugs" TargetMode="External"/><Relationship Id="rId44" Type="http://schemas.openxmlformats.org/officeDocument/2006/relationships/hyperlink" Target="https://www.mdr.de/nachrichten/thueringen/ost-thueringen/gera/angriff-politiker-spd-kommunalwahl-100.html" TargetMode="External"/><Relationship Id="rId52" Type="http://schemas.openxmlformats.org/officeDocument/2006/relationships/hyperlink" Target="https://doi.org/10.1007/s00451-007-0308-y" TargetMode="External"/><Relationship Id="rId6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8" Type="http://schemas.openxmlformats.org/officeDocument/2006/relationships/hyperlink" Target="https://www.demokratie-leben.de/dl/projektpraxis/beratungsangebote/mobile-beratung" TargetMode="External"/><Relationship Id="rId3" Type="http://schemas.openxmlformats.org/officeDocument/2006/relationships/hyperlink" Target="https://hillsong.com/germany/de/" TargetMode="External"/><Relationship Id="rId7" Type="http://schemas.openxmlformats.org/officeDocument/2006/relationships/hyperlink" Target="https://www.stark-im-amt.de/" TargetMode="External"/><Relationship Id="rId2" Type="http://schemas.openxmlformats.org/officeDocument/2006/relationships/hyperlink" Target="https://www.icf.church/de/" TargetMode="External"/><Relationship Id="rId1" Type="http://schemas.openxmlformats.org/officeDocument/2006/relationships/hyperlink" Target="https://jmem.de/en/" TargetMode="External"/><Relationship Id="rId6" Type="http://schemas.openxmlformats.org/officeDocument/2006/relationships/hyperlink" Target="https://www.sicherimdienst.nrw/" TargetMode="External"/><Relationship Id="rId5" Type="http://schemas.openxmlformats.org/officeDocument/2006/relationships/hyperlink" Target="https://www.polizei.sachsen.de/de/98508.htm" TargetMode="External"/><Relationship Id="rId4" Type="http://schemas.openxmlformats.org/officeDocument/2006/relationships/hyperlink" Target="https://www.vebs.de/" TargetMode="External"/><Relationship Id="rId9" Type="http://schemas.openxmlformats.org/officeDocument/2006/relationships/hyperlink" Target="https://verband-brg.d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ximilianRuf\Desktop\Team%20Science\ZepRa_Onlinejournal\Template\2022-05-11%20-%20Template%20Artikel%20vers.%200.2.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B6F099BD553DD64C96B0CF935D68A6AD" ma:contentTypeVersion="17" ma:contentTypeDescription="Ein neues Dokument erstellen." ma:contentTypeScope="" ma:versionID="5290574556828aad660cc879ce031213">
  <xsd:schema xmlns:xsd="http://www.w3.org/2001/XMLSchema" xmlns:xs="http://www.w3.org/2001/XMLSchema" xmlns:p="http://schemas.microsoft.com/office/2006/metadata/properties" xmlns:ns2="04ee64f0-941b-42af-89a5-03cda858ca11" xmlns:ns3="4d6bfb8f-749e-44ac-af30-7c9d230cce4a" targetNamespace="http://schemas.microsoft.com/office/2006/metadata/properties" ma:root="true" ma:fieldsID="a23ce952a85f874d61081a4bf0eaa792" ns2:_="" ns3:_="">
    <xsd:import namespace="04ee64f0-941b-42af-89a5-03cda858ca11"/>
    <xsd:import namespace="4d6bfb8f-749e-44ac-af30-7c9d230cce4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ee64f0-941b-42af-89a5-03cda858ca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Bildmarkierungen" ma:readOnly="false" ma:fieldId="{5cf76f15-5ced-4ddc-b409-7134ff3c332f}" ma:taxonomyMulti="true" ma:sspId="88a4a6dc-aae3-4576-8254-8d47d5e850d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6bfb8f-749e-44ac-af30-7c9d230cce4a"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18" nillable="true" ma:displayName="Taxonomy Catch All Column" ma:hidden="true" ma:list="{a69ea61f-dc0f-48ef-8ccc-3ff60c6f45d4}" ma:internalName="TaxCatchAll" ma:showField="CatchAllData" ma:web="4d6bfb8f-749e-44ac-af30-7c9d230cce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d6bfb8f-749e-44ac-af30-7c9d230cce4a" xsi:nil="true"/>
    <lcf76f155ced4ddcb4097134ff3c332f xmlns="04ee64f0-941b-42af-89a5-03cda858ca11">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77C35-B7B5-4202-8A84-61D2B4C81B2B}">
  <ds:schemaRefs>
    <ds:schemaRef ds:uri="http://schemas.openxmlformats.org/officeDocument/2006/bibliography"/>
  </ds:schemaRefs>
</ds:datastoreItem>
</file>

<file path=customXml/itemProps2.xml><?xml version="1.0" encoding="utf-8"?>
<ds:datastoreItem xmlns:ds="http://schemas.openxmlformats.org/officeDocument/2006/customXml" ds:itemID="{710DBFB7-090D-4B4C-8EB2-2DC8D40CCB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ee64f0-941b-42af-89a5-03cda858ca11"/>
    <ds:schemaRef ds:uri="4d6bfb8f-749e-44ac-af30-7c9d230cc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E6B2FE-736B-4B4D-B7E2-D520F73CD12A}">
  <ds:schemaRefs>
    <ds:schemaRef ds:uri="http://schemas.microsoft.com/office/2006/metadata/properties"/>
    <ds:schemaRef ds:uri="http://schemas.microsoft.com/office/infopath/2007/PartnerControls"/>
    <ds:schemaRef ds:uri="4d6bfb8f-749e-44ac-af30-7c9d230cce4a"/>
    <ds:schemaRef ds:uri="04ee64f0-941b-42af-89a5-03cda858ca11"/>
  </ds:schemaRefs>
</ds:datastoreItem>
</file>

<file path=customXml/itemProps4.xml><?xml version="1.0" encoding="utf-8"?>
<ds:datastoreItem xmlns:ds="http://schemas.openxmlformats.org/officeDocument/2006/customXml" ds:itemID="{20E05620-2323-4EBF-A5B7-52941D48A53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2022-05-11 - Template Artikel vers. 0.2.dotx</Template>
  <TotalTime>0</TotalTime>
  <Pages>87</Pages>
  <Words>60883</Words>
  <Characters>383569</Characters>
  <Application>Microsoft Office Word</Application>
  <DocSecurity>0</DocSecurity>
  <Lines>3196</Lines>
  <Paragraphs>887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443565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Maximilian Ruf</dc:creator>
  <cp:keywords/>
  <dc:description/>
  <cp:lastModifiedBy>Cornelia Lotthammer</cp:lastModifiedBy>
  <cp:revision>123</cp:revision>
  <cp:lastPrinted>2025-04-09T22:06:00Z</cp:lastPrinted>
  <dcterms:created xsi:type="dcterms:W3CDTF">2025-12-16T09:09:00Z</dcterms:created>
  <dcterms:modified xsi:type="dcterms:W3CDTF">2025-12-18T12:04:00Z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0x010100B6F099BD553DD64C96B0CF935D68A6AD</vt:lpwstr>
  </property>
  <property fmtid="{D5CDD505-2E9C-101B-9397-08002B2CF9AE}" pid="3" name="MediaServiceImageTags">
    <vt:lpwstr/>
  </property>
</Properties>
</file>